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P/1890/2019 vom 17. Februar 2020</w:t>
      </w:r>
    </w:p>
    <w:p>
      <w:r>
        <w:t>GE Cour de justice, 2020-02-17, FR</w:t>
      </w:r>
    </w:p>
    <w:p>
      <w:r>
        <w:rPr>
          <w:b/>
        </w:rPr>
        <w:t xml:space="preserve">Quelle: </w:t>
      </w:r>
      <w:r>
        <w:t>https://mcp.opencaselaw.ch/entscheid/ge_gerichte_P_1890_2019</w:t>
      </w:r>
    </w:p>
    <w:p>
      <w:r>
        <w:t>FR: GE_GERICHTE P/1890/2019 du 17 février 2020</w:t>
      </w:r>
    </w:p>
    <w:p>
      <w:r>
        <w:t>IT: GE_GERICHTE P/1890/2019 del 17 febbraio 2020</w:t>
      </w:r>
    </w:p>
    <w:p>
      <w:pPr>
        <w:pStyle w:val="Heading2"/>
      </w:pPr>
      <w:r>
        <w:t>Regeste</w:t>
      </w:r>
    </w:p>
    <w:p>
      <w:r>
        <w:t>IRRESPONSABILITÉ;MESURE THÉRAPEUTIQUE INSTITUTIONNELLE;INDEMNITÉ(EN GÉNÉRAL);DÉTENTION PROVISOIRE;IMPUTATION;EXÉCUTION ANTICIPÉE DES PEINES ET DES MESURES | CP.19; CP.140.al1; CP.180.al1; LStup.19.al1.leta; CP.59.al1; CP.59.al3; CPP.374; CPP.431.al2; CPP.220.al1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 2 ème éd., Bâle 2016, n. 2, 4 et 9 ad art. 374 CPP et les références). 2.2.1.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2.2.2.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 2.2.3.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(ATF 141 IV 236 = JdT 2016 IV 104). Selon le Tribunal fédéral, cette solution se déduit déjà du texte de l'art. 431 al. 2 CPP, qui dispose que la privation de liberté excessive est imputée sur les sanctions prononcées, et non pas seulement - comme le prévoit l'art. 51 CP - sur les peines ; or, le terme sanction vise généralement aussi les mesures. En outre, le message du Conseil fédéral prévoit que, dans les cas où cela est possible, l'imputation interviendra également sur les mesures privatives de liberté (FF 2006 p. 1314 ; ATF 141 IV 236 consid. 3.6 p. 241 = JdT 2016 IV 104). Enfin, le Tribunal fédéral a relevé que le but de la mesure était finalement d'empêcher la commission de nouvelles infractions pour protéger la communauté, de sorte qu'il n'allait pas à l'encontre d'une telle imputation (ATF 141 IV 236 consid. 3.7 et 3.8 p. 241 ss = JdT 2016 IV 104 ; arrêt du Tribunal fédéral 6B_343/2015 du 2 février 2016 consid. 1.2.5). 2.2.4. A la différence des peines, les mesures thérapeutiques institutionnelles de l'art. 59 CP sont de durée relativement indéterminée. Leur durée dépend des besoins de traitement de la personne concernée et des perspectives de succès de la mesure (cf. art. 56 al. 1er let. b CP) ainsi que, finalement, des effets de la mesure sur le risque de commission de nouvelles infractions (cf. ATF 136 IV 156 = JdT 2011 IV 111 c. 2.3). La privation de liberté qu'elles entraînent ne peut en général excéder cinq ans et elles peuvent être prolongées de cinq ans au plus à chaque fois (art. 59 al. 4 CP). Contrairement à l'échéance de la peine, la fin de la mesure n'est ainsi pas déterminée par le simple écoulement du temps. Elle dure plutôt, en principe, le temps nécessaire pour que son but soit atteint ou jusqu'à ce qu'il paraisse exclu qu'il puisse l'être (ATF 141 IV 236 consid. 3 = JdT 2016 IV 104 ; 141 IV 49 c. 2.1 et 2.2 pp. 51 s.). 2.2.5. Selon l'art. 62 CP, l'auteur est libéré conditionnellement de l'exécution institutionnelle de la mesure dès que son état justifie de lui donner l'occasion de faire ses preuves en liberté (al. 1). Le délai d'épreuve est de un an à cinq ans en cas de libération conditionnelle de la mesure prévue à l'art. 59 et de un à trois ans en cas de libération conditionnelle d'une des mesures prévues aux art. 60 et 61 (al. 2). L'art. 62d al. 1 CP, prévoit par ailleurs que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Lorsque l'intéressé n'est pas en liberté avant le début de la mesure thérapeutique institutionnelle au sens de l'art. 59 CP, la durée initiale (d'un maximum de cinq ans) de privation de liberté entraînée par la mesure commence à courir à la date de la décision entrée en force ordonnant ladite mesure (ATF 145 IV 65 consid. 2.7.1 = JdT 2019 IV 223). 2.2.6. Dans un arrêt récent ( 6B_375/2018 du 12 août 2019 consid. 2.7, destiné à publication), notre Haute Cour a précisé que l'" imputation " ne doit toutefois pas nécessairement être comprise comme un raccourcissement de la mesure, mais bien plus comme une imputation pro forma , sans effet sur la durée de la mesure prononcée (arrêt du Tribunal fédéral 6B_375/2018 du 12 août 2019 consid. 2.6, destiné à publication). Une indemnisation n'est envisageable que s'il apparaît ex post que la durée de la privation de liberté entraînée par la mesure est inférieure à la durée de la détention avant jugement (arrêt du Tribunal fédéral 6B_375/2018 du 12 août 2019 consid. 2.8.2, destiné à publication). Néanmoins, si ni les modalités d'exécution ni la durée de la mesure ordonnée ne sont connues au moment du jugement, l'autorité doit examiner la question de savoir s'il existe une détention provisoire excessive à indemniser en vertu de l'art. 431 al. 2 CPP dans le cadre d'une procédure ultérieure indépendante au sens de l'art. 363 CPP à une date postérieure, à savoir à l'échéance de la mesure (arrêts du Tribunal fédéral 6B_820/2018 du 17 septembre 2019 consid. 2.4 ; 6B_375/2018 du 12 août 2019 consid. 2.9, destiné à publication).</w:t>
      </w:r>
    </w:p>
    <w:p>
      <w:r>
        <w:rPr>
          <w:b/>
        </w:rPr>
        <w:t>E. 2.3</w:t>
      </w:r>
    </w:p>
    <w:p>
      <w:r>
        <w:t>Selon l'art. 220 al. 1 CPP, 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 2.4.1. En l'espèce, le constat de l'irresponsabilité de l'appelant et la mesure institutionnelle prononcée à son encontre lui ouvrent le droit à une éventuelle indemnisation en application de l'art. 431 al. 2 CPP, peu importe la question de savoir s'il a formellement fait l'objet d'une mise en accusation ou pas, dès lors qu'un auteur déclaré irresponsable n'est pas punissable. Néanmoins, dans la mesure où l'indemnisation financière est subsidiaire à l'imputation, il y a lieu d'examiner tout d'abord si et dans quelle mesure la détention avant jugement subie peut être imputée sur la mesure prononcée. 2.4.2. La détention provisoire ordonnée à l'encontre de l'appelant servait notamment à prévenir de nouvelles infractions graves contre le patrimoine et la liberté et, partant, à protéger la sécurité publique, tout comme la mesure thérapeutique institutionnelle prononcée, laquelle vise à empêcher qu'il ne récidive, ce qui ressort en particulier de l'expertise psychiatrique. Par ailleurs, l'instruction, menée avec diligence et consacrée pour l'essentiel à l'établissement de ladite expertise, a été close après moins de cinq mois et la procédure dans son ensemble s'est déroulée en moins d'une année, durant laquelle l'appelant a bénéficié d'un suivi psychiatrique, certes, limité. Compte tenu de ce qui précède et de la jurisprudence claire à ce propos, la détention provisoire et pour des motifs de sûretés peut ainsi être imputée sur la mesure thérapeutique institutionnelle prononcée. En l'occurrence, la détention provisoire de l'appelant a débuté le jour de son interpellation, soit le 29 janvier 2019, et s'est achevée le 4 juin 2019, date du prononcé de l'ordonnance d'exécution anticipée de la mesure. La détention provisoire de l'appelant a ainsi duré 127 jours, alors qu'une éventuelle levée de la mesure, dont l'exécution a été ordonnée en milieu fermé (art. 59 al. 3 CP) et qui est d'une durée maximale de cinq ans, reconductible, n'interviendra pas avant une durée d'une année. Au vu de ce qui précède, l'appelant, qui n'a pas subi une détention avant jugement excessive, ne peut prétendre à une indemnisation au sens de l'art. 431 al. 2 CPP, de sorte que sa conclusion en indemnisation sera rejetée. 2.4.3. Le jugement du tribunal de première instance sera dès lors confirmé sur ce point, sous réserve d'une substitution de motifs.</w:t>
      </w:r>
    </w:p>
    <w:p>
      <w:r>
        <w:rPr>
          <w:b/>
        </w:rPr>
        <w:t>E. 3.1</w:t>
      </w:r>
    </w:p>
    <w:p>
      <w:r>
        <w:t>Selon l'art. 419 CPP, si la procédure a fait l'objet d'une ordonnance de classement en raison de l'irresponsabilité du prévenu ou si celui-ci a été acquitté pour ce motif, les frais peuvent être mis à sa charge si l'équité l'exige au vu de l'ensemble des circonstances.</w:t>
      </w:r>
    </w:p>
    <w:p>
      <w:r>
        <w:rPr>
          <w:b/>
        </w:rPr>
        <w:t>E. 3.2</w:t>
      </w:r>
    </w:p>
    <w:p>
      <w:r>
        <w:t>En l'espèce et au vu de l'impécuniosité manifeste de l'appelant, il ne sera pas perçu de frais.</w:t>
      </w:r>
    </w:p>
    <w:p>
      <w:r>
        <w:rPr>
          <w:b/>
        </w:rPr>
        <w:t>E. 4</w:t>
      </w:r>
    </w:p>
    <w:p>
      <w:r>
        <w:t>4.1.1.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de CHF 110.- pour l'avocat stagiaire (let. a).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4.2</w:t>
      </w:r>
    </w:p>
    <w:p>
      <w:r>
        <w:t>En l'occurrence, en application des principes qui précèdent, il convient de retrancher de l'état de frais présenté par M e C______ le temps consacré aux recherches juridiques, soit 2h00, ainsi que celui consacré à l'analyse de la décision du SAPEM, soit 1h00, inclus dans le forfait. En conclusion, l'indemnité sera arrêtée à CHFF 781.90 correspondant à 5h30 d'activité au tarif de CHF 110.-/heure [CHF 605.-] plus la majoration forfaitaire de 20% [CHF 121.-] et l'équivalent de la TVA au taux de 7.7% [CHF 55.90].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