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P/18899/2016 vom 27. Februar 2017</w:t>
      </w:r>
    </w:p>
    <w:p>
      <w:r>
        <w:t>GE Cour de justice, 2017-02-27, FR</w:t>
      </w:r>
    </w:p>
    <w:p>
      <w:r>
        <w:rPr>
          <w:b/>
        </w:rPr>
        <w:t xml:space="preserve">Quelle: </w:t>
      </w:r>
      <w:r>
        <w:t>https://mcp.opencaselaw.ch/entscheid/ge_gerichte_P_18899_2016</w:t>
      </w:r>
    </w:p>
    <w:p>
      <w:r>
        <w:t>FR: GE_GERICHTE P/18899/2016 du 27 février 2017</w:t>
      </w:r>
    </w:p>
    <w:p>
      <w:r>
        <w:t>IT: GE_GERICHTE P/18899/2016 del 27 febbraio 2017</w:t>
      </w:r>
    </w:p>
    <w:p>
      <w:pPr>
        <w:pStyle w:val="Heading2"/>
      </w:pPr>
      <w:r>
        <w:t>Regeste</w:t>
      </w:r>
    </w:p>
    <w:p>
      <w:r>
        <w:t>SÉQUESTRE(MESURE PROVISIONNELLE) ; CONFISCATION(DROIT PÉNAL) ; RESTITUTION(EN GENERAL) | CPP.263; CPP.267; CP.70</w:t>
      </w:r>
    </w:p>
    <w:p>
      <w:pPr>
        <w:pStyle w:val="Heading2"/>
      </w:pPr>
      <w:r>
        <w:t>Erwägungen</w:t>
      </w:r>
    </w:p>
    <w:p>
      <w:r>
        <w:rPr>
          <w:b/>
        </w:rPr>
        <w:t>E. 1</w:t>
      </w:r>
    </w:p>
    <w:p>
      <w:r>
        <w:t>Les recours ont été déposés selon la forme et dans le délai prescrits (art. 385 al. 1 et 396 al. 1 CPP) et visent des ordonnances sujettes à recours auprès de la Chambre de céans (art. 263 et 393 al. 1 let. a CPP). Ils émanent des tiers saisis qui, parties à la procédure (art. 105 al. 1 let. f CPP), ont qualité pour agir, ayant un intérêt juridiquement protégé à la modification ou à l'annulation des décisions querellées (art. 105 al. 2 et 382 al. 1 CPP).![endif]&gt;![if&gt; Partant, les recours sont recevables.</w:t>
      </w:r>
    </w:p>
    <w:p>
      <w:r>
        <w:rPr>
          <w:b/>
        </w:rPr>
        <w:t>E. 2</w:t>
      </w:r>
    </w:p>
    <w:p>
      <w:r>
        <w:t>Les deux recours concernant la même procédure et le même état de fait, et les deux recourants ayant fait valoir les mêmes arguments et étant représentés par le même conseil, il se justifie, par économie de procédure, de les joindre et de les traiter par un seul arrêt, aucun intérêt ne s'opposant à une telle jonction.![endif]&gt;![if&gt;</w:t>
      </w:r>
    </w:p>
    <w:p>
      <w:r>
        <w:rPr>
          <w:b/>
        </w:rPr>
        <w:t>E. 3</w:t>
      </w:r>
    </w:p>
    <w:p>
      <w:r>
        <w:t>Les recourants contestent que les conditions pour prononcer un séquestre soient remplies en l'espèce. ![endif]&gt;![if&gt;</w:t>
      </w:r>
    </w:p>
    <w:p>
      <w:r>
        <w:rPr>
          <w:b/>
        </w:rPr>
        <w:t>E. 3.1</w:t>
      </w:r>
    </w:p>
    <w:p>
      <w:r>
        <w:t>Selon l'art. 263 al. 1 CPP, des valeurs patrimoniales appartenant au prévenu ou à des tiers peuvent être mises sous séquestre, notamment, lorsqu'il est probable qu'elles seront utilisées comme moyens de preuves (let. a) (séquestre probatoire; Beweisbeschlagnahme ), qu'elles devront être restituées au lésé (let. c) ( Beschlagnahme zur Rückerstattung ) ou qu'elles devront être confisquées (let. d) (séquestre conservatoire; Konfiskationsbeschlagnahme ). ![endif]&gt;![if&gt;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L'autorité doit pouvoir décider rapidement du séquestre (art. 263 al. 2 CPP), ce qui exclut qu'elle résolve des questions juridiques complexes ou qu'elle attende d'être renseignée de manière exacte et complète sur les faits avant d'agir (ATF 116 Ib 96 consid. 3a p. 99 ss; arrêt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17-22 ad art. 263).</w:t>
      </w:r>
    </w:p>
    <w:p>
      <w:r>
        <w:rPr>
          <w:b/>
        </w:rPr>
        <w:t>E. 3.2</w:t>
      </w:r>
    </w:p>
    <w:p>
      <w:r>
        <w:t>La restitution au lésé (art. 263 al. 1 let. c CPP) vise, en première ligne, les objets provenant directement du patrimoine du lésé, qui doit être identifié, et tend au rétablissement de ses droits absolus (restitution de l'objet volé).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3.1.2).![endif]&gt;![if&gt; Selon l'art. 267 al. 2 CPP – qui constitue l'expression du séquestre en restitution du lésé prévu à l'art. 263 al. 1 let. c CPP –, la restitution anticipée à l'ayant droit de valeurs patrimoniales saisies est possible s'il n'est pas contesté qu'elles proviennent d'une infraction. Ces conditions réunies, le Ministère public peut même statuer d'office (M. NIGGLI / M. HEER / H. WIPRÄCHTIGER, Schweizerische Strafprozessordnung / Schweizerische Jugendstrafprozessordnung, Basler Kommentar StPO/JStPO , 2e éd., Bâle 2014, n. 29 ad art. 267 ; N. SCHMID, Schweizerische Strafprozessordnung : Praxiskommentar , 2e éd., Zurich 2013, n. 1 ad art. 267). L'art. 267 al. 2 CPP instaure une exception au principe selon lequel le sort des séquestres pénaux se règle avec la décision sur le fond de l'action publique (M. NIGGLI / M. HEER / H. WIPRÄCHTIGER, op. cit .,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 l'art. 267 al. 3 à 5 CPP entre en considération. L'application de l'art. 267 al. 3 et 4 CPP relève du juge du fond et non du Ministère public, ce dernier pouvant statuer, au titre d' "autorité pénale" , au sens de l'art. 267 al. 5 CPP (Message du Conseil fédéral relatif à l’unification du droit de la procédure pénale du 21 décembre 2005, FF 2006 1229), qui prévoit que l'autorité pénale peut attribuer les objets ou les valeurs patrimoniales à une personne et fixer aux autres réclamants un délai pour intenter une action civile. Cette disposition trouve donc application lorsque les droits de propriété sur un objet ne sont pas limpides. Il s'agit ainsi de maintenir l'objet sous main de justice aussi longtemps que le délai imparti n'est pas échu ou que la cause civile n'a pas été jugée, puis de le remettre à l'ayant droit (arrêts du Tribunal fédéral 1B_298/2014 du 21 novembre 2014 consid. 3.2 in SJ 2015 I p. 277; 1B_270/2012 du 7 août 2012 consid. 2.2).</w:t>
      </w:r>
    </w:p>
    <w:p>
      <w:r>
        <w:rPr>
          <w:b/>
        </w:rPr>
        <w:t>E. 3.3</w:t>
      </w:r>
    </w:p>
    <w:p>
      <w:r>
        <w:t>S'agissant d'un séquestre en vue de la confiscation (art. 263 al.1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 subsister (ATF 139 IV 250 consid. 2.1 p. 252 ss ; 137 IV 145 consid. 6.4 p. 151 ss et les références citées).![endif]&gt;![if&gt; Les conditions d'une telle confiscation sont stipulées à l'art. 70 CP. Celui-ci autorise le juge à confisquer des valeurs patrimoniales qui sont le résultat d'une infraction, si elles ne doivent pas être restituées au lésé en rétablissement de ses droits (art. 70 al. 1 CP; ATF 139 IV 209 consid. 5.3 p. 211 s. et les arrêts cités).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(arrêt du Tribunal fédéral 1B_365/2012 du 10 septembre 2012 consid. 3.2 et les arrêts cités).</w:t>
      </w:r>
    </w:p>
    <w:p>
      <w:r>
        <w:rPr>
          <w:b/>
        </w:rPr>
        <w:t>E. 3.4</w:t>
      </w:r>
    </w:p>
    <w:p>
      <w:r>
        <w:t>La restitution au lésé selon l'art. 70 al. 1 in fine CP a la priorité sur une éventuelle confiscation (ATF 128 I 129 consid. 3.1.2 p. 133; 122 IV 365 consid. 1a/aa p. 368). ![endif]&gt;![if&gt;</w:t>
      </w:r>
    </w:p>
    <w:p>
      <w:r>
        <w:rPr>
          <w:b/>
        </w:rPr>
        <w:t>E. 3.5</w:t>
      </w:r>
    </w:p>
    <w:p>
      <w:r>
        <w:t>En l'espèce, il ressort clairement du dossier que les ouvrages séquestrés sont bien ceux qui ont été dérobés à la Fondation F______. Les conditions d'un séquestre en vue de la restitution au lésé (art. 263 al. 1 let. c CPP) apparaissent dès lors remplies.![endif]&gt;![if&gt; Toutefois, dès lors que tant la lésée que les recourants – acquéreurs invoquant leur bonne foi – revendiquent la propriété des ouvrages litigieux, ceux-ci devront faire l'objet d'une attribution par l'autorité pénale, ce en vertu de l'art. 267 al. 3 à 5 CPP (cf. arrêt du Tribunal fédéral 1B_298/2014 du 21 novembre 2014 consid. 3.2 in SJ 2015 I p. 277). Dans l'intervalle, leur mise sous main de justice est justifiée. Le séquestre en vue de la restitution au lésé primant le séquestre conservatoire, l'art. 70 al. 2 CP, invoqué par les recourants, ne trouve, ici, pas application. Au surplus, il sied de relever que les recourants ne prétendent pas subir un quelconque dommage en raison de ces séquestres, ni n'allèguent que ceux-ci seraient, pour toute autre raison, disproportionnés. Le Ministère public n'a ainsi pas mésusé de son pouvoir d'appréciation en prononçant le séquestre des ouvrages susmentionnés.</w:t>
      </w:r>
    </w:p>
    <w:p>
      <w:r>
        <w:rPr>
          <w:b/>
        </w:rPr>
        <w:t>E. 4</w:t>
      </w:r>
    </w:p>
    <w:p>
      <w:r>
        <w:t>Justifiées, les ordonnances querellées seront donc confirmées.![endif]&gt;![if&gt;</w:t>
      </w:r>
    </w:p>
    <w:p>
      <w:r>
        <w:rPr>
          <w:b/>
        </w:rPr>
        <w:t>E. 5</w:t>
      </w:r>
    </w:p>
    <w:p>
      <w:r>
        <w:t>Les recourants, qui succombent, supporteront, pour la moitié chacun, les frais envers l'État, qui comprendront un émolument de CHF 1'600.-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