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P/18876/2024 vom 30. Oktober 2025</w:t>
      </w:r>
    </w:p>
    <w:p>
      <w:r>
        <w:t>GE Cour de justice, 2025-10-30, FR</w:t>
      </w:r>
    </w:p>
    <w:p>
      <w:r>
        <w:rPr>
          <w:b/>
        </w:rPr>
        <w:t xml:space="preserve">Quelle: </w:t>
      </w:r>
      <w:r>
        <w:t>https://mcp.opencaselaw.ch/entscheid/ge_gerichte_P_18876_2024</w:t>
      </w:r>
    </w:p>
    <w:p>
      <w:r>
        <w:t>FR: GE_GERICHTE P/18876/2024 du 30 octobre 2025</w:t>
      </w:r>
    </w:p>
    <w:p>
      <w:r>
        <w:t>IT: GE_GERICHTE P/18876/2024 del 30 ottobre 2025</w:t>
      </w:r>
    </w:p>
    <w:p>
      <w:pPr>
        <w:pStyle w:val="Heading2"/>
      </w:pPr>
      <w:r>
        <w:t>Regeste</w:t>
      </w:r>
    </w:p>
    <w:p>
      <w:r>
        <w:t>DÉTENTION PROVISOIRE;RISQUE DE COLLUSION;RISQUE DE RÉCIDIVE;SOUPÇON;MESURE DE SUBSTITUTION À LA DÉTENTION;PROPORTIONNALITÉ | CPP.221; CPP.237; CPP.197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inexacte des faits. Dès lors que la Chambre de céans jouit d'un plein pouvoir de cognition en droit et en fait (art. 393 al. 2 CPP; ATF 137 I 195 consid. 2.3.2), les éventuelles constatations incomplètes ou inexactes du TMC auront été corrigées dans l'état de fait établi ci-devant. Partant, ce grief sera rejeté.</w:t>
      </w:r>
    </w:p>
    <w:p>
      <w:r>
        <w:rPr>
          <w:b/>
        </w:rPr>
        <w:t>E. 3</w:t>
      </w:r>
    </w:p>
    <w:p>
      <w:r>
        <w:t>Le recourant conteste l’existence de charges suffisantes, à tout le moins s’agissant de certains des faits qui lui sont reprochés.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c’est à juste titre que le recourant ne conteste pas l’existence de charges suffisantes s’agissant des faits commis au préjudice de K______ et du Cpl P______, qu’il a au demeurant admis. C’est également à raison qu’il ne conteste pas les soupçons pesant à son encontre en lien avec les faits perpétrés à Q______ (AG). Outre avoir été mis en cause par R______, le recourant a été interpelé en compagnie de ses deux acolytes, dans une forêt, à proximité immédiate du lieu de l’infraction, où ils avaient pris la fuite, les policiers l’ayant par ailleurs retrouvé en possession d’un sac à dos, de gants, ainsi que d’un couteau de poche équipé d’un dispositif permettant de briser des vitres. C’est en revanche à tort qu’il conteste l’existence de charges suffisantes en lien avec les faits commis au préjudice de D______. Certes, ce dernier a indiqué ne pas être en mesure de reconnaître ses agresseurs et aucune image de surveillance n’a pu être obtenue. Il n’en demeure pas moins que les documents du précité, qui avaient été subtilisés à cette occasion, ont par la suite été utilisés afin de contracter plusieurs abonnements auprès de E______ et de F______ [opérateurs téléphoniques], ainsi que pour louer deux véhicules, étant ici rappelé que, selon le représentant de l’entreprise de location, les voitures avaient été louées à une personne dont le numéro de téléphone et le compte Snapchat ont pu être attribués au recourant, d’une part, et que ce dernier a été formellement reconnu par I______ comme étant le conducteur fautif lors de l’accident survenu le 3 novembre 2024, d’autre part. De tels éléments sont de nature à fonder des soupçons suffisants à son encontre, nonobstant ses dénégations, et ce, non seulement en ce qui concerne l’accident ayant impliqué le véhicule précité, mais également pour l’ensemble des autres infractions commises au détriment de D______. Les charges sont également suffisantes s’agissant des actes perpétrés au préjudice de L______. Certes, ce dernier n’a pas été en mesure d’identifier de manière claire son « premier agresseur ». Il n’en demeure pas moins qu’il a cité le recourant, ainsi que deux autres personnes, comme étant susceptibles d’être ce fameux « premier agresseur ». Cet élément, combiné aux résultats de la perquisition effectuée au domicile du recourant – laquelle a permis la découverte d’une veste et d’une sacoche en bandoulière correspondant au « premier agresseur » – permettent de fonder des soupçons suffisants à son encontre. Partant, c’est à bon droit que le premier juge a retenu l’existence de charges suffisantes pour fonder la prolongation de la détention provisoire du recourant.</w:t>
      </w:r>
    </w:p>
    <w:p>
      <w:r>
        <w:rPr>
          <w:b/>
        </w:rPr>
        <w:t>E. 4</w:t>
      </w:r>
    </w:p>
    <w:p>
      <w:r>
        <w:t>Le recourant conteste l’existence d’un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force est d’admettre que l’instruction n’en est qu’à ses prémisses. Si une audience de confrontation a déjà eu lieu, le 27 octobre 2025, en vue de confronter R______ au recourant au sujet des faits commis en Argovie, d'autres audiences de confrontation devront encore intervenir, étant précisé que l’une d’entre elles a d'ores et déjà été appointée au 10 novembre 2025, lors de laquelle le recourant sera confronté à plusieurs plaignants, à savoir D______, K______ et L______. D’autres audiences pourraient encore devoir être tenues, notamment afin de confronter le recourant et R______ à AA______, troisième auteur présumé des faits perpétrés en Argovie, ou encore à « AB______ », brièvement mentionnée par R______ lors de son audition par la police argovienne, pour autant qu’elle puisse être identifiée. Il ne peut à ce stade être exclu que ces audiences permettent d’identifier d’autres personnes susceptibles d’être impliquées dans l’un ou l’autre des complexes de faits, auxquelles le recourant devra ensuite cas échéant être confronté. Il est à cet égard primordial que le recourant ne puisse entrer en contact, ni avec ses coprévenus, ni avec d'autres personnes impliquées et qui n'auraient pas encore été identifiées. Ses dénégations partielles ne sauraient annihiler le risque de collusion, lequel apparait très élevé à ce stade précoce de l'instruction. C'est donc à bon droit que le TMC a retenu ce risque.</w:t>
      </w:r>
    </w:p>
    <w:p>
      <w:r>
        <w:rPr>
          <w:b/>
        </w:rPr>
        <w:t>E. 5</w:t>
      </w:r>
    </w:p>
    <w:p>
      <w:r>
        <w:t>Le recourant conteste tout risque de réitération.</w:t>
      </w:r>
    </w:p>
    <w:p>
      <w:r>
        <w:rPr>
          <w:b/>
        </w:rPr>
        <w:t>E. 5.1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Le nouvel art. 221 al. 1 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5.3</w:t>
      </w:r>
    </w:p>
    <w:p>
      <w:r>
        <w:t>En l'espèce, le recourant a déjà été condamné à six reprises entre mars 2019 et octobre 2024, dont deux fois pour des actes impliquant de la violence, à savoir le 11 mars 2019, pour agression (art. 134 CP), puis le 26 septembre 2023, pour brigandage (art. 140 CP) et tentative de contrainte (art. 181 cum 22 CP). Dans la présente procédure, il lui est reproché d'avoir commis des faits d'une grande gravité. En effet, il est fortement soupçonné d'avoir, le 1er juillet 2024, de concert avec six autres individus, agressé physiquement D______, en l'étranglant, le projetant au sol et lui assenant des coups à la tête, avec les pieds mais également avec une matraque. Il est également fortement soupçonné d’avoir, quelques mois plus tard seulement, de concert avec d’autres individus, participé à une violente attaque contre L______, lors de laquelle ce dernier s’est vu asséner de nombreux coups de pied et de poing sur tout le corps, notamment le crâne. Bien que le recourant soutienne dans son recours ne consommer ni alcool, ni autre « stupéfiant excitant », force est toutefois de constater qu’il a reconnu consommer du cannabis, à raison de trois à quatre fois par jour, et qu’il a par ailleurs été condamné à plusieurs reprises pour consommation de stupéfiants, la dernière fois le 15 octobre 2024. De telles circonstances permettent de redouter un risque de récidive et de passage à l’acte, ce qu'a constaté à bon droit le premier juge.</w:t>
      </w:r>
    </w:p>
    <w:p>
      <w:r>
        <w:rPr>
          <w:b/>
        </w:rPr>
        <w:t>E. 6</w:t>
      </w:r>
    </w:p>
    <w:p>
      <w:r>
        <w:t>Le recourant conteste tout risque de fuite. L'admission d'un double risque indiscutable de collusion et de réitération dispense toutefois l'autorité de recours d'examiner si un troisième risque – alternatif – l'est également (arrêts du Tribunal fédéral 7B_144/2025 du 24 mars 2025 consid. 3.3 ; 7B_188/2024 du 12 mars 2024 consid. 6.3.1 et 1B_197/2023 du 4 mai 2023 consid. 4.5).</w:t>
      </w:r>
    </w:p>
    <w:p>
      <w:r>
        <w:rPr>
          <w:b/>
        </w:rPr>
        <w:t>E. 7</w:t>
      </w:r>
    </w:p>
    <w:p>
      <w:r>
        <w:t>Le recourant conclut subsidiairement à sa mise en liberté, moyennant la mise en œuvre de diverses mesures de substitution, aptes selon lui à pallier les risques sus-évoqués.</w:t>
      </w:r>
    </w:p>
    <w:p>
      <w:r>
        <w:rPr>
          <w:b/>
        </w:rPr>
        <w:t>E. 7.1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 Une interdiction d'approcher peut dans certains cas suffire à prévenir le risque de collusion. Tel est notamment le cas lorsque – comme en l'espèce –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 L'interdiction d'entrer en contact au sens de l'art. 237 al. 2 let. g CPP ne peut en principe porter que sur des personnes déterminées (arrêts 1B_485/2019 du 12 novembre 2019 consid. 3.4.2; 1B_121/2019 du 8 avril 2019 consid. 4.4).</w:t>
      </w:r>
    </w:p>
    <w:p>
      <w:r>
        <w:rPr>
          <w:b/>
        </w:rPr>
        <w:t>E. 7.2</w:t>
      </w:r>
    </w:p>
    <w:p>
      <w:r>
        <w:t>En l'occurrence, l'interdiction de contact proposée par le recourant, même complétée par une assignation à résidence contrôlée par bracelet, des interdictions de zones pertinentes et des contrôles inopinés, n'est pas apte à pallier le risque de collusion, encore très élevé à ce stade de l'instruction. Quand bien même de telles mesures seraient mises en œuvre, il est à craindre, en cas de mise en liberté, que le recourant ne cherche à contacter ses coprévenus, voire d'autres personnes susceptibles d'être impliquées dans l’un ou l’autre des complexes de faits qui lui sont reprochés, afin de tenter d'influencer leurs déclarations, de s'accorder sur une version commune, voire de les prévenir, mettant ainsi en péril l'administration des preuves à venir. Une telle interdiction de contact avec ces autres personnes n'est de toute façon pas envisageable, dans la mesure où celles-ci n'ont pas encore été identifiées à ce jour. Aucune autre mesure de substitution n'est concevable pour pallier le risque de collusion et le recourant n'en suggère au demeurant pas. Quant au risque de récidive, aucune mesure de substitution n'est, à ce stade, apte à le pallier, compte tenu de son importance, étant précisé que les autres mesures proposées par le recourant – consistant en une assignation à résidence, une surveillance électronique, une remise de son passeport et de son permis d’établissement, une interdiction de quitter la Suisse, une obligation de se présenter régulièrement auprès des autorités, un engagement écrit de se présenter à toute convocation, le dépôt d’une caution en CHF 8'000.- ou encore la mise en place d’une mesure de semi-détention – seraient tout au plus propres à prévenir le risque de fuite, non examiné ici.</w:t>
      </w:r>
    </w:p>
    <w:p>
      <w:r>
        <w:rPr>
          <w:b/>
        </w:rPr>
        <w:t>E. 8</w:t>
      </w:r>
    </w:p>
    <w:p>
      <w:r>
        <w:t>Le recourant demande, plus subsidiairement, que la prolongation de sa détention provisoire soit limitée au 27 octobre 2025, respectivement au 10 novembre 2025.</w:t>
      </w:r>
    </w:p>
    <w:p>
      <w:r>
        <w:rPr>
          <w:b/>
        </w:rPr>
        <w:t>E. 8.1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8.2</w:t>
      </w:r>
    </w:p>
    <w:p>
      <w:r>
        <w:t>En l'espèce, la prolongation de la détention provisoire du recourant pour une durée de trois mois s'avère nécessaire pour permettre au Ministère public d'accomplir les actes d'instruction annoncés. En égard aux actes restant à accomplir, une telle prolongation n'apparait pas excessive et est par ailleurs parfaitement conforme au principe de la proportionnalité eu égard aux faits qui lui sont reprochés, étant rappelé que le recourant se trouve en détention provisoire depuis le 9 août 2025.</w:t>
      </w:r>
    </w:p>
    <w:p>
      <w:r>
        <w:rPr>
          <w:b/>
        </w:rPr>
        <w:t>E. 9</w:t>
      </w:r>
    </w:p>
    <w:p>
      <w:r>
        <w:t>Le recourant, qui succombe, supportera les frais envers l'État, qui comprendront un émolument de CHF 1’000.- (art. 428 al. 1 CPP et 13 al. 1 du Règlement fixant le tarif des frais en matière pénale, RTFMP; E 4 10.03).</w:t>
      </w:r>
    </w:p>
    <w:p>
      <w:r>
        <w:rPr>
          <w:b/>
        </w:rPr>
        <w:t>E. 10</w:t>
      </w:r>
    </w:p>
    <w:p>
      <w:r>
        <w:t>Corrélativement, aucun dépens ne lui sera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