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P/18871/2019 vom 29. November 2024</w:t>
      </w:r>
    </w:p>
    <w:p>
      <w:r>
        <w:t>GE Cour de justice, 2024-11-29, FR</w:t>
      </w:r>
    </w:p>
    <w:p>
      <w:r>
        <w:rPr>
          <w:b/>
        </w:rPr>
        <w:t xml:space="preserve">Quelle: </w:t>
      </w:r>
      <w:r>
        <w:t>https://mcp.opencaselaw.ch/entscheid/ge_gerichte_P_18871_2019</w:t>
      </w:r>
    </w:p>
    <w:p>
      <w:r>
        <w:t>FR: GE_GERICHTE P/18871/2019 du 29 novembre 2024</w:t>
      </w:r>
    </w:p>
    <w:p>
      <w:r>
        <w:t>IT: GE_GERICHTE P/18871/2019 del 29 novembre 2024</w:t>
      </w:r>
    </w:p>
    <w:p>
      <w:pPr>
        <w:pStyle w:val="Heading2"/>
      </w:pPr>
      <w:r>
        <w:t>Regeste</w:t>
      </w:r>
    </w:p>
    <w:p>
      <w:r>
        <w:t>OBTENTION ILLICITE DE PRESTATIONS D'UNE ASSURANCE SOCIALE;PC;DOMICILE;RÉSIDENCE HABITUELLE | CP.148a; LPGA.13; CP.66A</w:t>
      </w:r>
    </w:p>
    <w:p>
      <w:pPr>
        <w:pStyle w:val="Heading2"/>
      </w:pPr>
      <w:r>
        <w:t>Erwägungen</w:t>
      </w:r>
    </w:p>
    <w:p>
      <w:r>
        <w:rPr>
          <w:b/>
        </w:rPr>
        <w:t>E. 1.1</w:t>
      </w:r>
    </w:p>
    <w:p>
      <w:r>
        <w:t>L'appel principal est recevable pour avoir été interjeté et motivé selon la forme et dans les délais prescrits (art. 398 et 399 du Code de procédure pénale [CPP]).</w:t>
      </w:r>
    </w:p>
    <w:p>
      <w:r>
        <w:rPr>
          <w:b/>
        </w:rPr>
        <w:t>E. 1.2</w:t>
      </w:r>
    </w:p>
    <w:p>
      <w:r>
        <w:t>Il en va de même de l'appel joint formé par le MP (art. 400 al. 3 let. b et 401 CPP).</w:t>
      </w:r>
    </w:p>
    <w:p>
      <w:r>
        <w:rPr>
          <w:b/>
        </w:rPr>
        <w:t>E. 1.3</w:t>
      </w:r>
    </w:p>
    <w:p>
      <w:r>
        <w:t>Il sera pris acte du retrait de l'appel joint du SPC.</w:t>
      </w:r>
    </w:p>
    <w:p>
      <w:r>
        <w:rPr>
          <w:b/>
        </w:rPr>
        <w:t>E. 1.4</w:t>
      </w:r>
    </w:p>
    <w:p>
      <w:r>
        <w:t>La Chambre d'appel et de révision (CPAR)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et 7 du règlement genevois relatif au remboursement des frais de maladie et des frais résultant de l'invalidité en matière de prestations complémentaires à l'assurance-vieillesse et survivants et à l'assurance-invalidité ([RFMPC ; J 4 20.04]). L'art. 2 al. 1 let. a et b de la loi sur les prestations complémentaires cantonales (LPCC ; J 4 25) en vigueur à l'époque des faits reprenait les mêmes conditions d'octroi que les prestations fédérales, à savoir notamment l'exigence d'un domicile et d'une résidence habituelle sur le territoire de la République et canton de Genève (let. a). L'art. 1 al. 1 du règlement d'application de cette loi (RPCC-AVS/AI ; J 4 25.03) précisait que le bénéficiaire qui séjournait hors du canton plus de trois mois au total par année perdait son droit aux prestations, à moins qu'il ne s'agisse d'une hospitalisation ou d'un placement dans un home ou dans un établissement médico-social pour personnes âgées ou invalides. 2.4.1. Le domicile se définit comme étant le lieu où une personne réside avec l'intention de s'y établir (art. 23 al. 1 du Code civil [CC], auquel renvoient les art. 4 al. 1 LPC et 13 al. 1 de la loi fédérale sur la partie générale du droit des assurances sociales [LPGA]), et le reste aussi longtemps que la personne ne s'en est pas créé un nouveau (art. 24 al. 1 CC). L'intention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Cela vaut également en ce qui concerne les prestations complémentaires (ATF 127 V 237 consid. 1). 2.4.2. La résidence habituelle est l'endroit où une personne séjourne un certain temps, même si la durée de ce séjour est d'emblée limitée (art. 13 al. 2 LPGA). Selon la jurisprudence, cette notion doit être comprise dans un sens objectif : la condition de la résidence effective en Suisse n'est en principe plus remplie à la suite d'un départ à l'étranger, mais il n'y a pas interruption de la résidence en Suisse lorsque le séjour à l'étranger, correspondant à ce qui est généralement habituel, est dû à des motifs tels qu'une visite, des vacances, une absence pour affaires, une cure ou une formation (arrêt du Tribunal fédéral 9C_345/2010 du 16 février 2020 consid. 5.1). La notion de résidence habituelle au sens de l'art. 13 al. 2 LPGA suppose néanmoins que le centre de toutes les relations de l'intéressé se situe en Suisse (ATF 141 V 530 consid. 5.3 ; 119 V 111 consid. 7b). Depuis le 1 er janvier 2021, l'art. 4 al. 3 LPC stipule que la résidence habituelle en Suisse au sens de l'al. 1 est considérée comme interrompue lorsqu'une personne séjourne à l'étranger pendant plus de trois mois de manière ininterrompue (let. a) ou pendant plus de trois mois au total au cours d'une même année civile (let. b). Avant l'entrée en vigueur de cette disposition, cette question était réglée par les directives de l'Office fédéral des assurances sociales (OFAS) en matière de prestations complémentaires, qui précisaient notamment que, lorsqu'au cours d'une même année civile, une personne séjournait plus de six mois (183 jours) à l'étranger – plusieurs séjours au cours de la même année s'additionnant –, le droit à la prestation complémentaire tombait pour toute l'année civile en question, ces directives ne devant toutefois pas être appliquées de manière trop schématique (ATF 126 IV 64 consid. 3b ; arrêt du Tribunal fédéral 9C_345/2010 du 16 février 2011 consid. 5.1 ; pour un récapitulatif de ces notions, cf. ATAS/673/2023 du 31 août 2023 consid. 9, confirmé par arrêt du Tribunal fédéral 8_662/2023 du 22 mars 2024 consid. 4).</w:t>
      </w:r>
    </w:p>
    <w:p>
      <w:r>
        <w:rPr>
          <w:b/>
        </w:rPr>
        <w:t>E. 2.1</w:t>
      </w:r>
    </w:p>
    <w:p>
      <w:r>
        <w:t>Le premier juge a considéré que le comportement reproché au prévenu par l'acte d'accusation ne réalisait pas les éléments constitutifs de l'infraction d'escroquerie, au sens de l'art. 146 CP, faute d'astuce et de position de garant, point qui n'est pas remis en cause en appel. Compte tenu de la peine menace prévue par l'art. 148a CP, invoqué subsidiairement par le MP, les faits antérieurs au 12 janvier 2017, examinés sous l'angle de cette disposition, étaient par ailleurs prescrits. Seuls sont donc soumis à l'examen de la Chambre de céans les faits postérieurs à cette date, sous l'angle de l'art. 148a CP.</w:t>
      </w:r>
    </w:p>
    <w:p>
      <w:r>
        <w:rPr>
          <w:b/>
        </w:rPr>
        <w:t>E. 2.2</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2.3</w:t>
      </w:r>
    </w:p>
    <w:p>
      <w:r>
        <w:t>Conformément à l'art. 4 al. 1 let. c de la loi fédérale sur les prestations complémentaires (LPC), les personnes qui ont leur domicile et leur résidence habituelle en Suisse ont droit à des prestations complémentaires dès lors qu'elles ont droit à une rente ou à une allocation pour impotent de l'assurance-invalidité (AI). Ce droit à des prestations complémentaires leur permet de bénéficier de subsides destinés à la couverture de leur assurance-maladie (art. 20 al. 1 let. b et 22 al. 7 de la loi cantonale d'application de la loi fédérale sur l'assurance-maladie (LaLAMal ; J 3 05) et induit également la prise en charge des frais médicaux, pour autant qu'ils aient été dispensés en Suisse (cf. art. 14 al. 1 LPC cum</w:t>
      </w:r>
    </w:p>
    <w:p>
      <w:r>
        <w:rPr>
          <w:b/>
        </w:rPr>
        <w:t>E. 2.5</w:t>
      </w:r>
    </w:p>
    <w:p>
      <w:r>
        <w:t>L'art. 31 al. 1 de la loi fédérale sur la partie générale du droit des assurances sociales (LPGA) dispose que l'ayant droit, ses proches ou les tiers auxquels une prestation est versée sont tenus de communiquer à l'assureur ou, selon le cas, à l'organe compétent toute modification importante des circonstances déterminantes pour l'octroi d'une prestation. L'art. 11 al. 1 LPCC prévoit, de manière similaire, que le bénéficiaire ou son représentant légal doit déclarer au service tout fait nouveau de nature à entraîner la modification du montant des prestations qui lui sont allouées ou leur suppression.</w:t>
      </w:r>
    </w:p>
    <w:p>
      <w:r>
        <w:rPr>
          <w:b/>
        </w:rPr>
        <w:t>E. 2.6</w:t>
      </w:r>
    </w:p>
    <w:p>
      <w:r>
        <w:t>L'art. 148a al. 1 CP, entré en vigueur le 1 er octobre 2016,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w:t>
      </w:r>
    </w:p>
    <w:p>
      <w:r>
        <w:rPr>
          <w:b/>
        </w:rPr>
        <w:t>E. 2.6.1</w:t>
      </w:r>
    </w:p>
    <w:p>
      <w:r>
        <w:t>Cette disposition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ou passe certains faits sous silence (cf. Message du Conseil fédéral concernant une modification du code pénal et du code pénal militaire du 26 juin 2013, in FF 2013 5432 ss.). Dans cette dernière hypothèse (" en passant sous silence "), l'art. 148a 2 ème hyp. CP décrit une infraction d'omission proprement dite, ce qui écarte notamment l'interprétation établie en matière d'escroquerie concernant l'absence de position de garant du bénéficiaire de prestations à caractère social (arrêt du Tribunal fédéral 6B_1015/2019 du 4 décembre 2019 consid. 4.5.2. et 4.5.6. ; Message du Conseil fédéral du 26 juin 2013, p. 5432). Les termes " en passant sous silence " signifient bien que le comportement visé est aussi la simple omission, même en l'absence de demande d'information de l'aide sociale (arrêt du Tribunal fédéral 6B_688/2021 du 18 août 2022 consid. 2.4.1).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(Message du Conseil fédéral du 26 juin 2013, p. 5433).</w:t>
      </w:r>
    </w:p>
    <w:p>
      <w:r>
        <w:rPr>
          <w:b/>
        </w:rPr>
        <w:t>E. 2.6.2</w:t>
      </w:r>
    </w:p>
    <w:p>
      <w:r>
        <w:t>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2.7</w:t>
      </w:r>
    </w:p>
    <w:p>
      <w:r>
        <w:t>En l'espèce, l'appelant est resté inscrit au contrôle de l'habitant à Genève, où il a conservé, à tout le moins jusqu'en 2020, un appartement, ses assurances, ses médecins et les plaques de ses véhicules. Une grande partie de sa famille proche habitait par ailleurs à faible distance. La question du maintien d'un domicile dans le canton durant la période pénale considérée peut cependant demeurer ouverte. L'existence d'une résidence habituelle à Genève est en effet une condition supplémentaire posée tant pour l'octroi de prestations complémentaires fédérales que cantonales. L'appelant prétend qu'il ne se rendait que de manière sporadique à l'étranger et que la durée de ses séjours était inférieure à trois mois par année. Si l'on se réfère aux billets d'avion produits, force est toutefois de constater que ceux-ci correspondent à des allers-retours de N______ à Genève, et non le contraire, ce qui, comme l'a relevé le premier juge, ne se conçoit guère que si l'appelant résidait habituellement en Bosnie-Herzégovine. Les séjours à Genève dans l'intervalle de ces vols sont par ailleurs fort brefs, puisqu'ils n'ont jamais excédé deux semaines. L'on ne peut certes exclure que l'appelant ait, parfois, effectué d'autres trajets, notamment en voiture ou en minibus. Il n'a toutefois apporté aucun élément (par exemple des preuves d'achat de billets de transport ou le témoignage de personnes qui auraient pu faire la route avec lui) permettant de considérer que cela aurait été plus qu'occasionnel. Les tampons apposés dans son passeport coïncident pour le surplus pour l'essentiel avec la date des vols. À cela s'ajoute que, à l'exception de deux rendez-vous les 29 octobre et 3 novembre 2018, tous les rendez-vous médicaux auxquels l'appelant s'est présenté ont été fixés durant les périodes durant lesquelles sa présence à Genève est corroborée par les dates des vols communiquées par M______. Or, une simple coïncidence n'est à cet égard pas plausible, au vu de la durée des séjours considérés. Il y a dès lors lieu d'en déduire que l'appelant regroupait ses rendez-vous lors de ses passages à Genève ; un vol de retour pour N______, prévu le 30 novembre 2015, a d'ailleurs été repoussé au 4 décembre 2015 le jour-même d'un rendez-vous médical, le 23 novembre 2015, pour permettre à l'appelant d'honorer un nouveau rendez-vous médical, fixé le 1 er décembre 2015. Les dates auxquelles des prestations prises en charge par l'assurance-maladie de l'appelant ont été délivrées n'infirment pas ce raisonnement, puisqu'elles correspondent pour la plupart aux dates de présence de l'appelant en Suisse telles qu'elles ressortent des vols ou à celles de son ex-épouse telles que retenues dans la procédure concernant celle-ci. Aucun élément probant ne corrobore pour le surplus la présence de l'appelant à Genève plus de neuf mois par année. Il affirme que son épouse n'utilisait pas son compte, dès lors qu'elle avait le sien depuis 2012, mais n'explique pas les raisons pour lesquelles, dans ces conditions, D______ continuait de recevoir des remboursements sur le compte de son ex-époux. Il ne fournit pas non plus d'explications sur les motifs pour lesquels, entre juin 2014 et janvier 2019, seule la carte Q______ n° 11_____ émise, selon la police, au nom de D______, a été utilisée, à l'exclusion de la carte n° 8______ délivrée à son propre nom. La plupart du temps, les dates d'utilisation coïncident au demeurant avec des périodes durant lesquelles la présence de D______ en Suisse a été admise, de sorte que l'argument de l'appelant, selon lequel des retraits auraient été effectués au bancomat lorsqu'il était supposé être en Bosnie-Herzégovine ne peut être considéré comme une preuve de sa propre présence en Suisse. L'on observe par ailleurs qu'à dater de mars 2013, le loyer de l'appartement genevois a été acquitté par le biais d'un ordre de paiement automatique et que les autres charges fixes de la famille ont également commencé à faire l'objet d'ordres de paiements. Cette époque correspond également à celle à partir de laquelle ont débuté les transferts mensuels en faveur des cartes de crédit du couple, ce qui contredit la déclaration de l'appelant selon laquelle il n'utilisait pas ce moyen de paiement et effectuait toutes ses dépenses en espèces. L'on notera à cet égard que l'appelant s'est gardé de produire les relevés de ses cartes, ce qui eût permis d'attester sa présence à Genève, si, comme il le prétend, tel était le cas. En ce qui concerne la consommation d'électricité de l'appartement, sa diminution importante à partir de mars 2013 (elle passe de 2'295 kWh annuels en 2011-2012 à 1'070 kWh annuels entre en 2013-2014, et même à 816 kWh annuels en 2014-2015) ne peut s'expliquer que par l'absence de ses occupants. Les enfants du couple n'habitaient en effet plus avec eux depuis plusieurs années à cette époque et l'appelant, pas plus que son épouse, n'invoquent un changement drastique de leurs habitudes. Aucune des affirmations de l'appelant pour justifier de son mode de vie économique ne paraît pour le surplus crédible, notamment qu'il aurait lavé son linge à la main alors que, selon les dires de D______, l'appartement était équipé d'un lave-linge. Elles ne suffisent dans tous les cas pas à justifier une telle diminution. Les dénégations de l'appelant quant à ses liens avec la Bosnie-Herzégovine, et plus précisément la bourgade de J______, n'emportent enfin pas la conviction. Certes, la valeur probante de bases de données commerciales est faible et d'anciennes photographies, non datées, ne permettent en soi pas de déductions quant à la durée d'éventuels séjours de l'appelant à l'étranger. Ces photographies contredisent néanmoins les affirmations péremptoires des époux quant au fait qu'ils ne séjournaient jamais au même endroit en Bosnie-Herzégovine. Par ailleurs, l'appelant a lui-même reconnu son ancrage à J______, où sa mère vivait et où il a suffisamment de connaissances pour faire partie d'un club de moto (indice de présence dont on ne peut que souligner l'absence en Suisse). Dans ces conditions, il paraît curieux qu'il ne se soit pas enquis de la présence répertoriée d'un homonyme exploitant, à la même adresse, depuis le 25 juin 2013 une auberge " ______-Hostel H______ " et, depuis 2021, une " Beverage Manufacturing Industry ". Cette absence de curiosité est d'autant plus suspecte qu'il a, sur sa page Facebook, commenté d'un " J'aime " l'inscription " ______ – Hostel H______ ", tout en soutenant, lors de l'audience devant la Chambre de céans, que cet hôtel, dans lequel D______ pose entre deux militaires, ne lui disait rien. L'affirmation selon laquelle les montants débités en faveur de Y______.com correspondaient à des nuitées en auberge lors de ses tours à moto est quant à elle contredite tant par la régularité – mensuelle – de ces paiements, dont la faible quotité ne peut s'expliquer autrement que par le versement de commissions, que par sa propre affirmation selon laquelle il n'utilisait pas ses cartes de crédit. Il y a dès lors tout lieu de croire que l'appelant est bel et bien l'exploitant de cet établissement, depuis à tout le moins 2014 (ce qui correspond à la diminution de la consommation électrique liée à son appartement genevois, à la période à partir de laquelle ses paiements courants en Suisse ont commencé à être faits par virements bancaires et à l'alimentation régulière des cartes de crédit au nom des deux ex-époux. Au vu de ces éléments, il faut retenir que l'appelant n'a pas eu, durant la période pénale considérée, sa résidence habituelle à Genève, ayant séjourné largement plus de 90 jours par année à l'étranger. Il ne remplissait dès lors pas les conditions d'octroi des prestations complémentaires et des prestations associées, ce qu'il n'ignorait pas, puisqu'il a admis avoir eu connaissance de l'interdiction qui lui était faite de ne pas passer plus de trois mois par année civile hors du canton et ne pouvait dès lors ignorer qu'en taisant ses absences, il bénéficiait indûment des versements étatiques. Sa culpabilité du chef d'obtention illicite de prestations d'une assurance sociale pour la période courant du 13 janvier 2017 au 31 juillet 2019 sera dès lors confirmée et son appel rejeté sur ce point.</w:t>
      </w:r>
    </w:p>
    <w:p>
      <w:r>
        <w:rPr>
          <w:b/>
        </w:rPr>
        <w:t>E. 3</w:t>
      </w:r>
    </w:p>
    <w:p>
      <w:r>
        <w:t>3.1. L'art. 148a al. 1 CP punit l'obtention illicite de prestations d'une assurance sociale ou de l'aide sociale d'une peine privative de liberté d'un an au plus ou d'une peine pécuniaire. L'alinéa 2 sanctionne d'une amende les cas de peu de gravité. La loi ne définit pas ce qu'il faut entendre par cas de peu de gravité. Selon la jurisprudence, en deçà d'un montant de CHF 3'000.-, il y a toujours lieu de retenir un cas de peu de gravité. À l'inverse, lorsque ce montant est supérieur à CHF 36'000.-, le cas de peu de gravité est en général exclu (ATF 149 IV 273 consid. 1.5.9). Pour les montants intermédiaires, soit entre CHF 3'000.- et CHF 36'000.-, un examen approfondi des circonstances particulières du cas concret s'impose. En particulier, la culpabilité peut sembler moindre lorsque l'obtention illicite de la prestation a été de courte durée, que le comportement de l'auteur ne traduit pas une intention marquée d'enfreindre la loi ou que l'on peut comprendre ses motivations ou ses buts (ATF 149 IV 273 consid. 1.5.7 et 1.5.9 ; arrêts du Tribunal fédéral 6B_993/2023 du 11 décembre 2023 consid. 1.1 ; 6B_104/2022 du 8 février 2023 consid. 2.1.4, 6B_1400/2021 du 20 décembre 2022 consid. 4.2 et 6B_797/2021 du 20 juillet 2022 consid. 2.2). Un cas de peu de gravité a par exemple été admis alors que la somme indûment perçue s'élevait à CHF 13'735.30, que le prévenu avait passé sous silence, durant sept mois, aux services sociaux la réception d'un unique versement de ses avoirs de libre passage, qu'il avait agi par une simple omission, alors qu'il pouvait s'attendre à ce que le versement soit découvert dans la mesure où les services sociaux connaissaient l'existence de cet avoir et qu'ensuite, à l'occasion d'un contrôle, il avait présenté volontairement les justificatifs correspondants (ATF 149 IV 273 consid. 1.6). Il a été en revanche nié, s'agissant d'un montant passé sous silence de CHF 15'815.55, qui était largement supérieur au seuil de CHF 3'000.- discuté par la jurisprudence, la durée du comportement illicite s'étant prolongée durant deux ans et n'étant pas justifiée par la situation personnelle de l'auteur (arrêt du Tribunal fédéral 6B_797/2021 du 21 juillet 2022 consid. 2.3).</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Plus précisément,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3.4</w:t>
      </w:r>
    </w:p>
    <w:p>
      <w:r>
        <w:t>Selon une jurisprudence rendue en matière d'octroi indu d'une prestation au sens de la LPC (art. 31 al. 1 LPC, correspondant à l'art. 16 aLPC), transposable mutatis mutandis à l'art. 148a CP, cette infraction est consommée du point de vue formel dès les premiers versements des prestations complémentaires, les éléments constitutifs objectifs et subjectifs étant réalisés. Le résultat de l'infraction ne dure pas mais est accompli à chaque nouveau versement. Il ne s'agit ainsi pas d'un délit continu, même si après l'admission d'une demande de prestations complémentaires, les versements sont effectués mensuellement et étalés dans le temps (ATF 131 IV 83 consid. 2.1.3 ; ATAS/326/2013 du 9 avril 2013 consid. 16). En l'absence de délit continu, l'auteur encourt une peine pour chaque acte qui réalise les éléments constitutifs de l'infraction (cf. M. DUPUIS / L. MOREILLON / C. PIGUET / S. BERGER / M. MAZOU / V. RODIGARI (éds), Code pénal - Petit commentaire, 2 e éd., Bâle 2017, n. 8 ad art. 49). Conformément à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rPr>
          <w:b/>
        </w:rPr>
        <w:t>E. 3.5</w:t>
      </w:r>
    </w:p>
    <w:p>
      <w:r>
        <w:t>En l'occurrence, la faute de l'appelant est importante. Il a agi délibérément, par pur appât du gain, ce qui est d'autant moins justifiable qu'il n'avait plus ni épouse ni enfants à charge. Seule l'intervention de l'autorité et l'enquête à laquelle elle a procédé ont permis de mettre fin à ses agissements. L'on ne se trouve ainsi manifestement pas dans un cas de peu de gravité, qui pourrait être qualifié de contravention, tant au vu de la situation personnelle de l'appelant que de la durée du comportement illicite adopté et des montants indûment perçus, qui s'élèvent, pour la seule période pénale, à CHF 19'558.30, soit bien davantage que le seuil de CHF 3'000.- fixé par la jurisprudence. La collaboration de l'appelant ne peut être qualifiée que de mauvaise, puisqu'il a persisté à nier l'évidence, y compris lors de l'audience devant la Chambre de céans. Sa prise de conscience est inexistante. L'absence d'antécédent a un effet neutre sur la fixation de la peine. En revanche, chaque occurrence se trouve en concours réel avec les autres, dans la mesure où il ne s'agit pas d'un délit continu. Il a montré une énergie criminelle à tout le moins identique, voire supérieure – si l'on se réfère à la durée bien plus longue de ses séjours à l'étranger – à celle de D______, qui a été condamnée pour l'infraction à l'art. 148a CP commise entre le 1 er octobre 2016 et le 31 juillet 2019 à une peine privative de liberté de sept mois (avec sursis). Dans ces conditions, c'est à juste titre que le MP critique le choix d'une peine pécuniaire, l'intérêt public à voir sévèrement sanctionnés les abus en matière d'assistance ne devant pas être négligé. Le prononcé d'une peine privative de liberté de sept mois apparaît dès lors justifié, conformes aux critères rappelés ci-dessus et cohérent avec la sanction infligée à D______. Le sursis, dont les conditions sont réalisées et qui n'est pas remis en cause, est acquis à l'appelant. L'appel joint sera dès lors partiellement admis et le jugement entrepris modifié sur ce point.</w:t>
      </w:r>
    </w:p>
    <w:p>
      <w:r>
        <w:rPr>
          <w:b/>
        </w:rPr>
        <w:t>E. 4</w:t>
      </w:r>
    </w:p>
    <w:p>
      <w:r>
        <w:t>4.1. Conformément à l'art. 66a al. 1 CP, le juge expulse un étranger du territoire suisse pour une durée de cinq à quinze ans s'il est reconnu coupable de l'une des infractions énumérées aux let. a à o, et ce quelle que soit la quotité de la peine prononcée à son encontre. L'expulsion est donc en principe indépendante de la gravité des faits retenus (arrêt du Tribunal fédéral 6B_506/2017 du 14 février 2018 consid. 1.1). Il peut néanmoins être renoncé à l'expulsion, exceptionnellement, lorsque celle-ci mettrait l'étranger dans une situation personnelle grave et que les intérêts publics à l'expulsion ne l'emportent pas sur son intérêt à demeurer en Suisse (art. 66a al. 2 CP). 4.2.1. La clause de rigueur permet de garantir le principe de la proportionnalité (art. 5 al. 2 Cst). Elle doit être appliquée de manière restrictive. La loi ne définit pas ce qu'il faut entendre par une " situation personnelle grave ".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consid. 3.4.2 ; 144 IV 332 consid. 3.3 ss ; arrêts du Tribunal fédéral 6B_1187/2022 du 23 août 2023 consid. 1.2 s et 6B_379/2021 du 30 juin 2021 consid. 1.1). 4.2.2.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Les relations entre enfants adultes et leurs parents ne bénéficient en revanche pas de la protection de l'art. 8 CEDH, sauf s'il existe entre eux une relation de dépendance qui va au-delà de liens affectifs normaux, par exemple en raison d'une maladie ou d'un handicap (ATF 137 I 154 consid. 3.4.2 ; arrêt du Tribunal fédéral 6B_1116/2022 du 21 avril 2023 consid. 3.1.2). L'expulsion d'un étranger qui séjourne depuis longtemps en Suisse doit se faire avec une retenue particulière.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 144 IV 332 consid. 3.3.2 et 3.3.3 et les arrêts cités ; arrêt du Tribunal fédéral 6B_153/2020 du 28 avril 2020 consid. 1.4.1).</w:t>
      </w:r>
    </w:p>
    <w:p>
      <w:r>
        <w:rPr>
          <w:b/>
        </w:rPr>
        <w:t>E. 4.3</w:t>
      </w:r>
    </w:p>
    <w:p>
      <w:r>
        <w:t>Selon l'état de santé de l'intéressé et les prestations de soins disponibles dans l'État d'origine, l'expulsion du territoire suisse peut par ailleurs placer l'étranger dans une situation personnelle grave au sens de l'art. 66a CP ou se révéler disproportionnée sous l'angle de l'art. 8 par. 2 CEDH. Lorsque l'intéressé souffre d'une maladie ou d'une infirmité, il sied donc d'examiner le niveau d'atteinte à la santé, les prestations médicales qui sont à disposition dans le pays d'origine ainsi que les conséquences négatives que cela peut engendrer pour la personne concernée (ATF 145 IV 455 consid. 9.1 ; arrêts du Tribunal fédéral 6B_1044/2023 du 20 mars 2024 consid. 4.1.4 ; 6B_244/2023 du 25 août 2023 consid. 6.4 ; 6B_86/2023 du 7 août 2023 consid. 5.2.3 ; 6B_745/2022 du 22 février 2023 consid. 3.2.3).</w:t>
      </w:r>
    </w:p>
    <w:p>
      <w:r>
        <w:rPr>
          <w:b/>
        </w:rPr>
        <w:t>E. 4.5</w:t>
      </w:r>
    </w:p>
    <w:p>
      <w:r>
        <w:t>En l'espèce, l'infraction d'obtention illicite de prestations d'une assurance sociale commises par l'appelant entre janvier 2017 et juillet 2019, soit après l'entrée en vigueur des dispositions sur l'expulsion, le 1 er octobre 2016, entraînent l'expulsion obligatoire au sens de l'art. 66a al. 1 let. e CP. Une renonciation à prononcer son expulsion ne peut dès lors intervenir qu'à des conditions restrictives. Or, si l'appelant a passé plus de quarante ans en Suisse, soit presque toute sa vie d'adulte, il n'a jamais coupé les liens avec son pays d'origine, où il passe la majeure partie de son temps depuis près de dix ans. D______, dont il a divorcé en 2011 mais sans que cela n'emporte de changement notable dans leur situation, puisqu'ils ont continué à cohabiter, y compris après leur déménagement à K______, a également fait l'objet d'une expulsion, désormais entrée en force, et réside dès lors vraisemblablement déjà dans ce pays. Les enfants et petits-enfants de l'appelant habitent certes la Suisse, mais cela reste insuffisant pour que l'appelant puisse invoquer le respect de sa vie familiale, ce d'autant moins que ses proches, selon ses propres dires, se rendent souvent en Bosnie-Herzégovine, notamment à l'occasion des vacances d'été ou de Noël. L'appelant invoque des problèmes de santé, mais ne démontre pas qu'il ne pourrait pas être suivi médicalement dans son pays d'origine, au vu de l'absence de gravité suffisante de ceux-ci au sens de la jurisprudence en la matière. Force est dès lors de constater que rien ne s'oppose à son expulsion – au demeurant limitée à cinq ans, soit le minimum légal –, qui ne le placerait pas dans une situation personnelle particulièrement grave au sens de la jurisprudence. Le jugement du TP sera dès lors également confirmé sur point.</w:t>
      </w:r>
    </w:p>
    <w:p>
      <w:r>
        <w:rPr>
          <w:b/>
        </w:rPr>
        <w:t>E. 5</w:t>
      </w:r>
    </w:p>
    <w:p>
      <w:r>
        <w:t>5.1. Selon l'art. 122 al. 1 CPP, en sa qualité de partie plaignante, le lésé peut déposer des conclusions civiles déduites de l'infraction, par adhésion à l'action pénale. Le tribunal saisi de la cause pénale statue sur les conclusions civiles lorsqu'il rend un verdict de culpabilité à l'encontre du prévenu (art. 126 al. 1 let. a CPP).</w:t>
      </w:r>
    </w:p>
    <w:p>
      <w:r>
        <w:rPr>
          <w:b/>
        </w:rPr>
        <w:t>E. 5.2</w:t>
      </w:r>
    </w:p>
    <w:p>
      <w:r>
        <w:t>Sont considérées comme prétentions civiles au sens de l'art. 122 al. 1 CPP les prétentions qui ont leur fondement dans le droit civil et qui doivent donc être exécutées de manière ordinaire devant le tribunal civil. Les prétentions de droit public ne peuvent pas être invoquées par adhésion dans le cadre du procès pénal et ne font pas partie des prétentions civiles au sens de cette disposition (ATF 141 IV 380 consid. 2.3.1 ; 131 I 455 consid. 1.2.4).</w:t>
      </w:r>
    </w:p>
    <w:p>
      <w:r>
        <w:rPr>
          <w:b/>
        </w:rPr>
        <w:t>E. 5.3</w:t>
      </w:r>
    </w:p>
    <w:p>
      <w:r>
        <w:t>En l'occurrence, le SPC a rendu des décisions de restitution de prestations qui trouvent leur fondement dans le droit public, dont l'examen du bien-fondé relève, en cas de contestation, des juridictions administratives. C'est dès lors à juste titre que le premier juge a déclaré ses prétentions en paiement irrecevables. Le jugement entrepris sera donc également confirmé sur ce point.</w:t>
      </w:r>
    </w:p>
    <w:p>
      <w:r>
        <w:rPr>
          <w:b/>
        </w:rPr>
        <w:t>E. 6</w:t>
      </w:r>
    </w:p>
    <w:p>
      <w:r>
        <w:t>Conformément à l'art. 428 al. 1 CPP, les frais de la procédure de recours sont mis à la charge des parties dans la mesure où elles ont obtenu gain de cause ou succombé. L'appelant principal, qui succombe pour l'essentiel, supportera les 9/10 èmes des frais de la procédure d'appel, lesquels comprennent un émolument de CHF 1'500.- (art. 14 du règlement fixant le tarif des frais en matière pénale [RTFMP]). Le SPC, qui a retiré son appel joint et est réputé avoir succombé dans cette mesure, supportera quant à lui le 1/10 ème restant.</w:t>
      </w:r>
    </w:p>
    <w:p>
      <w:r>
        <w:rPr>
          <w:b/>
        </w:rPr>
        <w:t>E. 7</w:t>
      </w:r>
    </w:p>
    <w:p>
      <w:r>
        <w:t>.3.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7.4</w:t>
      </w:r>
    </w:p>
    <w:p>
      <w:r>
        <w:t>En l'occurrence, considéré globalement, l'état de frais produit par M e B______ répond à ces critères, sous réserve de la durée des entretiens, 60 minutes apparaissant suffisantes pour exposer à son mandant les tenants et aboutissants d'un appel, de la lecture et de l'examen du jugement entrepris (45 minutes), qui sont compris dans le forfait, et de la quotité de ce dernier, qui doit être limitée à 10%, vu l'ampleur de l'activité déployée durant la procédure de première instance. Sa rémunération sera dès lors arrêtée à CHF 1'902.55 TTC, correspondant à 7 heures 30 minutes d'activité au tarif de CHF 200.-/heure (CHF 1'500.-), une vacation (CHF 100.-), plus la majoration forfaitaire de 10% (CHF 160.-) et l'équivalent de la TVA au taux de 8.1% (CHF 142.55).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