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P/18773/2017 vom 2. September 2020</w:t>
      </w:r>
    </w:p>
    <w:p>
      <w:r>
        <w:t>GE Cour de justice, 2020-09-02, FR</w:t>
      </w:r>
    </w:p>
    <w:p>
      <w:r>
        <w:rPr>
          <w:b/>
        </w:rPr>
        <w:t xml:space="preserve">Quelle: </w:t>
      </w:r>
      <w:r>
        <w:t>https://mcp.opencaselaw.ch/entscheid/ge_gerichte_P_18773_2017</w:t>
      </w:r>
    </w:p>
    <w:p>
      <w:r>
        <w:t>FR: GE_GERICHTE P/18773/2017 du 2 septembre 2020</w:t>
      </w:r>
    </w:p>
    <w:p>
      <w:r>
        <w:t>IT: GE_GERICHTE P/18773/2017 del 2 settembre 2020</w:t>
      </w:r>
    </w:p>
    <w:p>
      <w:pPr>
        <w:pStyle w:val="Heading2"/>
      </w:pPr>
      <w:r>
        <w:t>Regeste</w:t>
      </w:r>
    </w:p>
    <w:p>
      <w:r>
        <w:t>HOMICIDE PAR NÉGLIGENCE;COAUTEUR(DROIT PÉNAL);DISPOSITIONS PÉNALES DE LA LCR | CP.117; CP.12.al3; LCR.91.al2; OCR.2.al3; OCR.96; CP.25</w:t>
      </w:r>
    </w:p>
    <w:p>
      <w:pPr>
        <w:pStyle w:val="Heading2"/>
      </w:pPr>
      <w:r>
        <w:t>Erwägungen</w:t>
      </w:r>
    </w:p>
    <w:p>
      <w:r>
        <w:rPr>
          <w:b/>
        </w:rPr>
        <w:t>E. 4</w:t>
      </w:r>
    </w:p>
    <w:p>
      <w:r>
        <w:t>4.1.1. Comme déjà relevé, les infractions aux art. 117 CP et 91 al. 2 let. a et b LCR, sont passibles d'une peine privative de liberté de trois ans au plus ou d'une peine pécuniaire, ce qui est également la peine menace prévue aux art. 90 al. 2 et 95 al. 1 let. b LCR. L'art. 96 al. 2 et 3 LCR dispose que quiconque conduit un véhicule automobile en sachant qu'il n'est pas couvert par l'assurance responsabilité civile prescrite ou qui devrait le savoir s'il avait prêté toute l'attention commandée par les circonstances est puni d'une peine privative de liberté de trois ans au plus ou d'une peine pécuniaire. La peine privative de liberté est assortie d'une peine pécuniaire. Dans les cas de peu de gravité, la sanction est la peine pécuniaire 4.1.2.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Petit Commentaire , 2 ème éd., Bâle 2017, n. 6 des rem. prél. ad art. 34 à 41), ce qui est le cas en l'espèce.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4.2.2.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6B_1175/2017 du 11 avril 2018 consid. 2.1 ; 6B_688/2014 du 22 décembre 2017 consid. 27.2.1). 4.2.3.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4.2.4. Le droit de se taire 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5.2).b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4.2.5.1.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4.2.5.2. Le juge peut suspendre partiellement l'exécution d'une peine pécuniaire, d'un travail d'intérêt général ou d'une peine privative de liberté d'un an au moins et de trois ans au plus afin de tenir compte de façon appropriée de la faute de l'auteur (art. 43 al. 1 CP). En cas de sursis partiel à l'exécution d'une peine privative de liberté, la partie suspendue, de même que la partie à exécuter, doivent être de six mois au moins (al. 3 CP). 4.2.6.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4.2.7.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4.3</w:t>
      </w:r>
    </w:p>
    <w:p>
      <w:r>
        <w:t>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 4.4.1. Comme retenu à juste titre par les premiers juges, la faute de l'appelant A______ est importante. Il a commis des violations des règles de circulation routière ayant entraîné, pour celle du 13 septembre 2017, des conséquences dramatiques, soit un décès. Il a, la nuit de ces faits, fait preuve d'une négligence crasse en prenant le volant alcoolisé et en état de fatigue avancée pour ne pas avoir dormi depuis près de 24 heures et, ce, pour son seul agrément, à savoir retourner à domicile dans les meilleurs délais. Une année plus tôt, il avait par deux fois pris le volant d'un véhicule automobile alors qu'il se trouvait sous interdiction de circuler en Suisse, ce, à nouveau, pour son seul confort personnel. Les raisons avancées, à savoir passer une partie de la nuit du 26 au 27 août 2016 à consommer de l'alcool avec les membres de son club de ______ et la rentrée avec son propre véhicule le lendemain après 10h00, respectivement sa venue en Suisse le 5 septembre 2016 par la douane d'Ambilly pour aller s'acheter des cigarettes à l'épicerie s'avèrent des plus futiles et rendent son comportement inexcusable. Le 27 août 2016, craignant certainement à tout le moins d'être intercepté alors qu'il savait conduire sous interdiction, outre mettre en danger les autres usagers de la route, il a concrètement entraîné la chute d'un motocycliste et de trois cyclistes. Sa collaboration à l'enquête a été mauvaise, en particulier s'agissant du complexe de faits le plus grave, l'intéressé ayant contesté jusqu'en appel sa responsabilité dans l'accident mortel dont il a été à l'origine, nonobstant les éléments accablants réunis durant l'enquête, alors même qu'il n'avait pas hésité à remettre en cause l'expertise technique. Sa prise de conscience a été quasi inexistante pendant presque toute la procédure dans la mesure où il a persisté à contester sa responsabilité dans la survenance de l'accident jusqu'aux débats d'appel, s'est trouvé des excuses et a adapté son discours au fur et à mesure qu'il a été confronté aux éléments de l'enquête. Il est allé jusqu'à se poser en victime et à impliquer possiblement des tiers qui auraient poursuivi leur route après avoir écrasé la victime. Bien qu'il puisse s'agir d'un mécanisme de défense tel que relevé par l'expert, le prévenu, en adoptant cette posture, a manqué du plus élémentaire des respects vis-à-vis de l'épouse, des parents et du frère de la victime et rendu d'autant plus difficile leur deuil. Les excuses qu'il a finies par présenter en se tournant vers la famille du défunt en fin d'audience, en première instance, après que chacune des victimes lui ait reproché de ne pas les avoir jusque-là regardées dans les yeux, s'avèrent tardives ; leur réitération lors de l'audience d'appel peut être comprise comme étant de circonstance, l'appelant semblant davantage intéressé par le fait d'obtenir une réduction de la partie ferme de sa peine que mu par la contrition. Il y a concours d'infractions entre les art. 117 CP, 91 al. 2 let. a et b, 95 al.1 let. b et 90 al. 2 LCR, abstraitement de même gravité puisque sanctionnés par la même peine menace. L'appelant a deux antécédents, en 2011 (en France) et en 2016, pour conduite en état d'ébriété et violation grave de la LCR. Sa condamnation du 14 mars 2009 n'entre pas en concours rétrospectif compte tenu du genre de peine différent in concreto . Bien qu'entendu le 11 septembre 2016 par la police et le 6 septembre 2016 par l'AFD pour des infractions à la LCR et en dépit de son engagement à cette dernière date de ce que cela ne se reproduirait plus, il a un franchi un pas supplémentaire dans la délinquance routière un an plus tard. C'est donc dire qu'il n'a pas saisi les signaux qui lui ont été donnés à l'occasion de deux précédentes condamnations et de ses auditions ultérieures devant les autorités. Selon le rapport d'expertise, la responsabilité de l'appelant était pleine et entière au moment d'agir et le risque de commission de nouvelles infractions à la LCR n'est " pas faible ". 4.4.2. Au vu de ce qui précède, il convient de fixer la quotité de la peine, le genre de peine retenu par le TCO n'étant, à juste titre, pas remis en cause par l'appelant. Conformément à la jurisprudence du Tribunal fédéral, la CPAR doit s'astreindre, ce que n'ont pas fait les premiers juges, à déterminer pour chaque infraction la peine hypothétique, respectivement la peine retenue compte tenu du concours. C'est ainsi une peine privative de liberté de 24-30 mois qui devrait sanctionner l'homicide par négligence. Elle devrait être aggravée, en tenant compte des règles sur le concours, de deux mois pour l'art. 91 al. 2 let. a et b LCR (peine hypothétique de quatre mois), de deux mois pour les infractions à l'art. 95 al. 1 let. b (deux occurrences pour une peine hypothétique de quatre mois) et d'un mois pour l'infraction à l'art. 90 al. 2 LCR (peine hypothétique de deux mois). Partant, la peine privative de liberté fixée 30 mois en première instance sera confirmée. La quotité de la peine dépassant deux ans, le sursis total est exclu. L'appelant peut toutefois encore bénéficier du sursis partiel dans la mesure où, nonobstant ses antécédents, un pronostic clairement défavorable ne peut pas encore être posé à dire d'expert psychiatre, son interdiction de conduire étant prise en compte dans cette appréciation. Au vu de ce qui précède et, en particulier, de l'absence d'une prise de conscience suffisante et aboutie de la part de l'appelant quant à la gravité de ses actes, il y a lieu de maintenir à huit mois la partie ferme de la peine. La renonciation à révoquer le sursis du 3 juin 2016 est acquise à l'appelant (art. 391 al. 2 CPP) et l'avertissement alors prononcé, avec prolongation du délai d'épreuve d'une année, pleinement justifié. 4.4.3. La détention avant jugement sera déduite de la peine prononcée, dans la proportion retenue par les premiers juges, tout comme la durée effective des mesures de substitution, à raison uniquement d'un dixième de celles-ci, compte tenu de la nature de ces mesures (ATF 140 IV 74 consid. 2.4). Un nombre de 435 jours s'étant écoulés depuis le prononcé du jugement de première instance, 44 jours supplémentaires seront imputés sur la peine, même s'il est relevé que l'appelant ne s'est pas toujours plié aux mesures de substitution comme il l'aurait dû.</w:t>
      </w:r>
    </w:p>
    <w:p>
      <w:r>
        <w:rPr>
          <w:b/>
        </w:rPr>
        <w:t>E. 4.5</w:t>
      </w:r>
    </w:p>
    <w:p>
      <w:r>
        <w:t>La faute de l'appelante D______ n'est pas anodine, dès lors qu'elle a mis son véhicule en circulation, alors qu'elle se savait dépourvue d'une assurance responsabilité civile, par convenance, pour se rendre dans une discothèque à Genève. Sa participation à la procédure doit être qualifiée de bonne, dès lors qu'elle a immédiatement admis les faits pour lesquels elle a été reconnue coupable et collaboré avec les autorités s'agissant du déroulement de la soirée du 13 septembre 2017. Il ne saurait lui être reproché d'avoir été moins loquace pendant l'audience de première instance que durant l'instruction, dans la mesure où celle-ci a eu lieu deux ans après les faits, ce qui peut expliquer que ses souvenirs de la soirée soient flous, l'appelante ne s'étant pour le surplus pas contredite, hormis son alcoolisation du moment. Sa prise de conscience est crédible, tout comme ses regrets, qu'elle a maintes fois adressés à la famille de la victime. Eu égard à ce qui précède, une peine pécuniaire de 90 jours-amende à CHF 30.- sanctionne correctement le comportement de l'appelante. Le sursis, acquis à l'appelante, sera par ailleurs confirmé, à l'instar du délai d'épreuve de trois ans, celui-ci étant de nature à la dissuader de commettre de nouvelles infractions.</w:t>
      </w:r>
    </w:p>
    <w:p>
      <w:r>
        <w:rPr>
          <w:b/>
        </w:rPr>
        <w:t>E. 5</w:t>
      </w:r>
    </w:p>
    <w:p>
      <w:r>
        <w:t>5.1. 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Pour la perte d'un enfant adulte, les tribunaux allouent généralement à chacun des deux parents une indemnité de CHF 25'000.- à CHF 30'000.-, exceptionnellement CHF 40'000.- (K. HÜTTE / P. DUCKSCH / K. GUERRERO, Le tort moral, une présentation synoptique de la jurisprudence , Genève, Zurich, Bâle 2006, affaires jugées de 2001 à 2002, III/3 et de 2003 à 2005, III/2 à III/3, III/5, III/7 ; S. CONVERSET, Aide aux victimes d'infractions et réparation du dommage, de l'action civile jointe à l'indemnisation par l'Etat sous l'angle du nouveau droit , Genève, Zurich, Bâle 2009, p. 370 s).</w:t>
      </w:r>
    </w:p>
    <w:p>
      <w:r>
        <w:rPr>
          <w:b/>
        </w:rPr>
        <w:t>E. 5.2</w:t>
      </w:r>
    </w:p>
    <w:p>
      <w:r>
        <w:t>Les appelants ne contestent pas, à juste titre, les montants des indemnités au titre de tort moral fixées par les premiers juges, à savoir CHF 35'000.- pour F______, épouse du défunt, CHF 25'000.- à chacun pour H______ et I______, ses parents, et CHF 10'000.- pour G______, son frère, conformes à la jurisprudence. Aucune faute concomitante ne peut être imputée au motocycliste dans la survenance de l'accident de sorte que ces indemnités ne sauraient être réduites. Au vu des acquittements prononcés en faveur de l'appelante D______ en lien avec l'accident mortel du 23 septembre 2017, l'appelant A______ en sera le seul débiteur. Le dommage matériel dûment prouvé par l'épouse et le père de la victime et directement lié au décès de la victimesera également supporté par l'appelant A______ uniquement.</w:t>
      </w:r>
    </w:p>
    <w:p>
      <w:r>
        <w:rPr>
          <w:b/>
        </w:rPr>
        <w:t>E. 6</w:t>
      </w:r>
    </w:p>
    <w:p>
      <w:r>
        <w:t>6.1.1. Les frais de la procédure sont mis à la charge des parties dans la mesure où elles ont obtenu gain de cause ou succombé (art. 428 al. 1 CPP). 6.1.2. Si l'autorité de recours rend elle-même une nouvelle décision, elle se prononce également sur les frais fixés par l'autorité inférieure (al. 3). 6.1.3. En cas d'acquittement ou d'abandon partiel des poursuites, le prévenu se voit attribuer les frais proportionnellement, dans la mesure des infractions pour lesquelles il est reconnu coupable (arrêt du Tribunal fédéral 6B_774/2014 du 22 mai 2012 consid. 6.1 ; L. MOREILLON / A. PAREIN-REYMOND, Petit commentaire CPP, Bâle 2016, n. 6 ad art. 426). 6.1.4. L'interdiction de la reformatio in pejus est violée lorsque l'autorité supérieure modifie la décision sur les frais et indemnités au détriment du recourant (arrêt du Tribunal fédéral 6B_1046/2013 du 14 mai 2014 consid. 2.3). 6.2.1. L'appelant A______, qui succombe, supportera la moitié des frais de la procédure d'appel envers l'Etat qui comprennent un émolument de procédure de CHF 4'000.- (art. 428 CPP ; art. 14 al. 1 let. e du règlement fixant le tarif des frais en matière pénale [RTFMP]). 6.2.2. L'appelante D______ obtient gain de cause en appel, compte tenu de son acquittement pour les deux chefs d'infractions contestés. Les frais de la procédure d'appel la concernant seront par conséquent laissés à la charge de l'Etat.</w:t>
      </w:r>
    </w:p>
    <w:p>
      <w:r>
        <w:rPr>
          <w:b/>
        </w:rPr>
        <w:t>E. 6.3</w:t>
      </w:r>
    </w:p>
    <w:p>
      <w:r>
        <w:t>Au vu des acquittements prononcés en faveur de l'appelante D______, laquelle n'a finalement été condamnée que pour un chef d'infraction, qui plus est pour des faits qu'elle a immédiatement admis, il sied de revoir la répartition des frais relatifs à la procédure préliminaire et de première instance et de condamner l'intéressée à 1/20 ème de ces frais, le solde des frais lui incombant, soit 9/20 èmes , étant laissé à la charge de l'Etat. Il n'y a en revanche pas lieu de revoir la condamnation aux frais de première instance de l'appelant A______, ceux-ci restant à sa charge dans la mesure prévue par les premiers juges, vu le verdict, respectivement l'interdiction de la reformatio in pejus .</w:t>
      </w:r>
    </w:p>
    <w:p>
      <w:r>
        <w:rPr>
          <w:b/>
        </w:rPr>
        <w:t>E. 7.1</w:t>
      </w:r>
    </w:p>
    <w:p>
      <w:r>
        <w:t>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 arrêts du Tribunal fédéral 6B_548/2018 du 18 juillet 2018 consid. 1.1.2 ; 6B_385/2017 du 5 décembre 2017 consid. 2.1).</w:t>
      </w:r>
    </w:p>
    <w:p>
      <w:r>
        <w:rPr>
          <w:b/>
        </w:rPr>
        <w:t>E. 7.2</w:t>
      </w:r>
    </w:p>
    <w:p>
      <w:r>
        <w:t>Aux termes de l'art. 429 al. 1 CPP, le prévenu a un droit à une indemnisation et à la réparation de son tort moral s'il est acquitté totalement ou en partie ou s'il bénéficie d'une ordonnance de classement.</w:t>
      </w:r>
    </w:p>
    <w:p>
      <w:r>
        <w:rPr>
          <w:b/>
        </w:rPr>
        <w:t>E. 7.3</w:t>
      </w:r>
    </w:p>
    <w:p>
      <w:r>
        <w:t>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et les références ; 6B_187/2015 du 28 avril 2015 consid. 6.1.2 ; C. GENTON / C. PERRIER, Les prétentions du prévenu en indemnités et en réparation du tort moral , in Jusletter du 13 février 2012, p. 3, n. 11). 7.4.1. L'appelante D______ ayant été acquittée en appel, le principe d'une indemnisation pour ses frais de défense pour les procédures de première instance et d'appel lui est acquis. 7.4.2. Considéré dans leur globalité, les états de frais produits par le conseil de l'appelante pour les procédures préliminaires, de première instance et d'appel semblent en adéquation avec la nature, l'importance et la difficulté de la cause, sous réserve de la durée de l'audience d'appel, qu'il y a lieu d'arrêter à quatre heures et 30 minutes et de la TVA, qui ne sera pas versée, dès lors que l'appelante est domiciliée en France. 7.4.3. Au vu de la condamnation de l'appelante à 1/20 ème des frais, celle-ci se verra allouer, pour la procédure préliminaire et de première instance, une indemnité correspondant aux 19/20 èmes de ses frais de défense, soit un montant de CHF 16'925.85. 7.4.4. L'appelante ayant obtenu entièrement gain de cause en appel, une indemnité couvrant la totalité de ses frais de défense pour la procédure d'appel lui sera allouée, pour un montant de CHF 7'233.40, correspondant à 18 heures et cinq minutes d'activité de chef d'Etude, audience d'appel incluse.</w:t>
      </w:r>
    </w:p>
    <w:p>
      <w:r>
        <w:rPr>
          <w:b/>
        </w:rPr>
        <w:t>E. 8.1</w:t>
      </w:r>
    </w:p>
    <w:p>
      <w:r>
        <w:t>L'art. 433 al. 1 let. a et b CPP permet à la partie plaignante de demander au prévenu une juste indemnité pour les dépenses obligatoires occasionnées par la procédure lorsqu'elle obtient gain de cause ou lorsque le prévenu est astreint au paiement des frais conformément à l'art. 426 al. 2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8.2.1. Les premiers juges ont retenu que le montant requis par les parties plaignantes à titre de dépenses obligatoires était adéquat tant au regard des heures déployées que du taux appliqué. L'indemnité de CHF 20'807.05 octroyée pour la procédure préliminaire et de première instance, laquelle n'est pas contestée en tant que telle, ne prête pas le flanc à critique et doit être confirmée. 8.2.2. Il y a lieu en revanche de revoir la répartition de cette indemnité entre les appelants et de condamner l'appelante D______ à 1/20 ème de cette somme et l'appelant A______ au solde, soit 19/20 èmes .</w:t>
      </w:r>
    </w:p>
    <w:p>
      <w:r>
        <w:rPr>
          <w:b/>
        </w:rPr>
        <w:t>E. 8.3</w:t>
      </w:r>
    </w:p>
    <w:p>
      <w:r>
        <w:t>Quant à l'indemnité réclamée par les parties plaignantes pour la procédure d'appel, laquelle s'élève à CHF 1'000.-, elle est plus que proportionnée. Vu l'issue de l'appel et la condamnation de l'appelant A______ à la moitié des frais de la procédure d'appel, celui-ci sera condamné à verser aux parties plaignantes une indemnité correspondant à la moitié de leurs frais de défense, soit CHF 500.-, les parties plaignantes n'obtenant pas entièrement gain de cause, vu l'acquittement de l'appelante D______.</w:t>
      </w:r>
    </w:p>
    <w:p>
      <w:r>
        <w:rPr>
          <w:b/>
        </w:rPr>
        <w:t>E. 9</w:t>
      </w:r>
    </w:p>
    <w:p>
      <w:r>
        <w:t>L'état de frais produit par M e C______, considéré dans sa globalité, est adéquat et conforme aux principes applicables en matière de taxation des honoraires d'un défenseur oeuvrant au bénéfice de l'assistance judiciaire, sous réserve de la durée des débats d'appel, qu'il y a lieu d'arrêter à quatre heures et 30 minutes. Il y a lieu de préciser que la présence de deux défenseurs lors de ladite audience ne se justifiait pas, de sorte que seule l'activité du chef d'Etude, qui a plaidé, sera prise en considération ( AARP/295/2015 du 12 juillet 2015 consid. 8.2.2.1). Aussi, l'indemnité sera arrêtée à CHF 6'024.10 correspondant à dix heures et six minutes d'activité au tarif de CHF 200.-/heure et à 16 heures et 42 minutes au tarif de CHF 150.-/heure, plus la majoration forfaitaire de 20% [CHF 932.25] et l'équivalent de la TVA au taux de 7.7% [CHF 430.70].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