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P/18771/2025 vom 25. August 2025</w:t>
      </w:r>
    </w:p>
    <w:p>
      <w:r>
        <w:t>GE Cour de justice, 2025-08-25, FR</w:t>
      </w:r>
    </w:p>
    <w:p>
      <w:r>
        <w:rPr>
          <w:b/>
        </w:rPr>
        <w:t xml:space="preserve">Quelle: </w:t>
      </w:r>
      <w:r>
        <w:t>https://mcp.opencaselaw.ch/entscheid/ge_gerichte_P_18771_2025</w:t>
      </w:r>
    </w:p>
    <w:p>
      <w:r>
        <w:t>FR: GE_GERICHTE P/18771/2025 du 25 août 2025</w:t>
      </w:r>
    </w:p>
    <w:p>
      <w:r>
        <w:t>IT: GE_GERICHTE P/18771/2025 del 25 agosto 2025</w:t>
      </w:r>
    </w:p>
    <w:p>
      <w:pPr>
        <w:pStyle w:val="Heading2"/>
      </w:pPr>
      <w:r>
        <w:t>Regeste</w:t>
      </w:r>
    </w:p>
    <w:p>
      <w:r>
        <w:t>ORDONNANCE DE NON-ENTRÉE EN MATIÈRE;LÉSION CORPORELLE SIMPLE;PÈRE;PLAINTE PÉNALE;DÉLAI | CP.123.ch2; CP.126; CP.31; CPP.310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310 al. 1 let. b CPP, le ministère public rend immédiatement une ordonnance de non-entrée en matière lorsqu'il existe des empêchements de procéder (art. 310 al. 1 let. b CPP), par exemple lorsque le délai pour déposer plainte prévu par l'art. 31 CP n'a pas été respecté (arrêt du Tribunal fédéral 6B_848/2018 du 4 décembre 2018 consid. 1.5).</w:t>
      </w:r>
    </w:p>
    <w:p>
      <w:r>
        <w:rPr>
          <w:b/>
        </w:rPr>
        <w:t>E. 3.2</w:t>
      </w:r>
    </w:p>
    <w:p>
      <w:r>
        <w:t>Selon l'art. 31 CP, le droit de porter plainte se prescrit par trois mois. La détermination du dies a quo se fait en tenant compte des circonstances du cas d'espèce. Le délai pour porter plainte ne commence à courir que lorsque le lésé a connu l'infraction et l'auteur de celle-ci (ATF 130 IV 97 consid. 2). 3.3.1. L'art. 123 ch. 1 CP prévoit qu'est punissable, sur plainte, celui qui, intentionnellement, aura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 3.3.2. Les voies de fait, réprimées, sur plainte, par l'art. 126 CP, se définissent comme des atteintes physiques qui excèdent ce qui est socialement toléré et qui ne causent ni lésions corporelles, ni dommage à la santé; il s'agit généralement de contusions, de meurtrissures, d'écorchures ou de griffures (ATF 134 IV 189 consid. 1.2). 3.3.3.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(ATF 134 IV 189 consid. 1.3).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w:t>
      </w:r>
    </w:p>
    <w:p>
      <w:r>
        <w:rPr>
          <w:b/>
        </w:rPr>
        <w:t>E. 3.4</w:t>
      </w:r>
    </w:p>
    <w:p>
      <w:r>
        <w:t>L'art. 123 ch. 2 CP décrit différents cas aggravés qui présentent la particularité de ne pas modifier le cadre de la peine encourue, mais qui se poursuivent d'office. Il en va notamment ainsi lorsque l'auteur s'en prend à une personne hors d'état de se défendre ou à une personne, notamment à un enfant, dont il avait la garde ou sur laquelle il avait le devoir de veiller (art. 123 ch. 2 al. 2 CP). Dans ce dernier cas, le législateur a tenu à protéger de manière spéciale toute victime se trouvant, au moment des faits, " hors d'état de se défendre " ou sous le devoir de garde, respectivement de veille, de l'auteur (A. MACALUSO / L. MOREILLON / N. QUELOZ (éds), Commentaire romand, Code pénal II, vol. II, Partie spéciale : art. 111-392 CP, 2 ème éd., Bâle 2025, n. 19 ad art. 123). Une victime se trouve hors d'état de se défendre si elle n'a pas la moindre chance d'être à même de faire face à son agresseur et aux actes par lesquels ce dernier la menace. L'incapacité à se défendre peut résulter de caractéristiques physiques (âge, faible constitution, pathologie somatique) ou psychiques (pathologie psychique), mais pas obligatoirement (ATF 129 IV 1 consid. 3.3 = JdT 2006 IV 2; 85 IV 124 consid. 4b).</w:t>
      </w:r>
    </w:p>
    <w:p>
      <w:r>
        <w:rPr>
          <w:b/>
        </w:rPr>
        <w:t>E. 3.5</w:t>
      </w:r>
    </w:p>
    <w:p>
      <w:r>
        <w:t>En l'espèce, la qualification de lésions corporelles simples en lien avec les griffures et hématomes dont le recourant dit avoir souffert à la suite de l'altercation dénoncée n'est pas certaine, quand bien même le médecin qu'il a consulté le lendemain a posé un diagnostic d'état de stress post-traumatique. Cette question peut néanmoins souffrir de demeurer indécise vu ce qui suit. Le recourant reconnaît ne pas avoir – largement – respecté le délai de plainte de trois mois, puisque les faits dénoncés se seraient déroulés le 20 février 2025 et qu'il a déposé plainte pénale plus de six mois plus tard. Il soutient toutefois que la poursuite devrait avoir lieu d'office en application de l'art. 123 ch. 2 al. 2 CP. S'il est indéniable que son âge au moment des faits, à savoir 90 ans, est un critère dont il y a lieu de tenir compte s'agissant de la vulnérabilité en découlant, il n'est pas le seul à devoir l'être. Ainsi, le recourant ne saurait valablement prétendre qu'au moment de l'altercation il se serait trouvé hors d'état de se défendre et n'aurait pas eu la moindre chance d'être à même de faire face à son agresseur. En effet, alors que ses deux filles adultes étaient en train de se disputer, en présence d'autres membres adultes de la famille, en particulier de son fils D______, le recourant n'explique pas ce qui aurait empêché celui-là d'intervenir pour séparer les deux sœurs, respectivement pour éloigner le recourant de sa fille B______ au moment où celle-ci s'en serait prise physiquement à lui. Il ne saurait dans ces conditions être retenu qu'il s'est retrouvé en incapacité de se défendre, alors même qu'il a estimé judicieux de s'interposer entre ses deux filles, qui en étaient apparemment venues aux mains. Par ailleurs, c'est vainement qu'il cherche à retirer du " lien familial " une obligation de sa fille de veiller sur lui, quand bien même il apparaît peu louable de la part de cette dernière d'avoir traité son père avec si peu d'égards. Ainsi, c'est à juste titre que le Ministère public a décidé de ne pas entrer en matière sur la plainte du recourant, vu sa tardiveté, et refusé de considérer les faits dénoncés sous l'angle de l'art. 123 ch. 2 al. 2 CP. Justifiée, l'ordonnance sera confirmée et le recours rejeté.</w:t>
      </w:r>
    </w:p>
    <w:p>
      <w:r>
        <w:rPr>
          <w:b/>
        </w:rPr>
        <w:t>E. 4</w:t>
      </w:r>
    </w:p>
    <w:p>
      <w:r>
        <w:t>Le recourant, qui succombe, supportera les frais envers l'État, fixés en totalité à CHF 1'000.- (art. 428 al. 1 CPP et 13 al. 1 du Règlement fixant le tarif des frais en matière pénale, RTFMP ; E 4 10.03), lesquels seront prélevés sur les sûretés versées.</w:t>
      </w:r>
    </w:p>
    <w:p>
      <w:r>
        <w:rPr>
          <w:b/>
        </w:rPr>
        <w:t>E. 5</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