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P/18749/2017 vom 9. Februar 2018</w:t>
      </w:r>
    </w:p>
    <w:p>
      <w:r>
        <w:t>GE Cour de justice, 2018-02-09, FR</w:t>
      </w:r>
    </w:p>
    <w:p>
      <w:r>
        <w:rPr>
          <w:b/>
        </w:rPr>
        <w:t xml:space="preserve">Quelle: </w:t>
      </w:r>
      <w:r>
        <w:t>https://mcp.opencaselaw.ch/entscheid/ge_gerichte_P_18749_2017</w:t>
      </w:r>
    </w:p>
    <w:p>
      <w:r>
        <w:t>FR: GE_GERICHTE P/18749/2017 du 9 février 2018</w:t>
      </w:r>
    </w:p>
    <w:p>
      <w:r>
        <w:t>IT: GE_GERICHTE P/18749/2017 del 9 febbraio 2018</w:t>
      </w:r>
    </w:p>
    <w:p>
      <w:pPr>
        <w:pStyle w:val="Heading2"/>
      </w:pPr>
      <w:r>
        <w:t>Regeste</w:t>
      </w:r>
    </w:p>
    <w:p>
      <w:r>
        <w:t>IN DUBIO PRO REO ; VIOLATION DE DOMICILE ; ERREUR SUR LES FAITS(DROIT PÉNAL) ; FIXATION DE LA PEINE ; ATTÉNUATION DE LA PEINE ; DÉTRESSE PROFONDE ; SURSIS À L'EXÉCUTION DE LA PEINE ; EXPULSION(DROIT PÉNAL) ; DÉFENSE D'OFFICE | CP.186; CP.13; CP.47; CP.42.letI; CP.66.leta; CPP.428; CPP.135; CP.48.leta.ch2</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p. 82 ; ATF 127 I 38 consid. 2a p. 41 ; ATF 124 IV 86 consid. 2a p. 87 s. ; arrêt du Tribunal fédéral 6B_1015/2016 du 27 octobre 2017 consid. 4.1). 2.2.1. Aux termes de l'art. 186 CP, se rend coupable de violation de domicile notamment celui qui, d'une manière illicite et contre la volonté de l'ayant droit, aura pénétré dans une habitation ou un local fermé. Selon la jurisprudence, la notion de domicile doit être comprise de manière large et vise non seulement les habitations au sens commun, mais également les fabriques, les centres commerciaux et les bâtiments administratifs (ATF 108 IV 33 consid. 5a p. 39). L'auteur doit encore agir de manière illicite. L'illicéité de l'acte implique que l'auteur s'oppose à la volonté de l'ayant droit. Elle fait défaut lorsque ce dernier donne son accord ou si l'auteur est au bénéfice d'un motif justificatif (ATF 83 IV 154 consid. 1 p. 157). Lorsqu'un lieu est ouvert au public dans un but précis et que ce but est clairement reconnaissable pour chacun, celui qui y pénètre en visant d'autres objectifs agit à l'encontre de la volonté de l'ayant droit. Ainsi, il ressort clairement de la destination des locaux que le détenteur d'un garage n'autorise à y pénétrer que ceux qui souhaitent y déposer, contre argent, leur voiture et la rechercher, ainsi que leurs accompagnants. De même que, celui qui pénètre dans un garage souterrain, endommageant des voitures, la porte d'une sortie de secours et des vitres, le fait contre la volonté de l'ayant droit (ATF 108 IV 33 consid. 5b p. 39 = JdT 1983 IV 76 ; arrêt du Tribunal fédéral 6B_1056/2013 du 20 août 2014 consid. 2.1 ; B. CORBOZ, Les infractions en droit suisse, vol. I , Berne 2010, n. 38 et 39 ad art. 186 CP). Sur le plan subjectif, la violation de domicile est intentionnelle, le dol éventuel étant toutefois suffisant. Non seulement l'auteur doit pénétrer ou rester volontairement, mais il faut encore qu'il veuille ou accepte que ce soit sans droit et contre la volonté de l'ayant droit ou l'injonction de sortir donnée par celui-ci (B. CORBOZ, op. cit. , n. 45 ss ad art. 186 CP). 2.2.2. Selon l'art. 13 CP, quiconque agit sous l'influence d'une appréciation erronée des faits est jugé d'après cette appréciation si elle lui est favorable (al. 1). Agit sous l’emprise d’une erreur sur les faits celui qui n’a pas connaissance ou qui se base sur une appréciation erronée d’un élément constitutif d’une infraction pénale (ATF 129 IV 238 consid. 3.1 p. 240). L'intention délictuelle fait alors défaut. L'erreur peut cependant aussi porter sur un fait justificatif, tel le cas de l'état de nécessité ou de la légitime défense putatifs ou encore sur un autre élément qui peut avoir pour effet d'atténuer ou d'exclure la peine (arrêt du Tribunal fédéral 6B_719/2009 du 3 décembre 2009 consid. 1.1 et les références citées).</w:t>
      </w:r>
    </w:p>
    <w:p>
      <w:r>
        <w:rPr>
          <w:b/>
        </w:rPr>
        <w:t>E. 2.3</w:t>
      </w:r>
    </w:p>
    <w:p>
      <w:r>
        <w:t>En l'espèce, le 12 septembre 2017, l'appelant a pénétré dans un magasin C______, alors qu'il faisait l'objet d'une interdiction d'entrée de trois ans, dont il avait pris connaissance le 19 novembre 2015. L'ayant droit des lieux lui avait ainsi, à cette date, clairement fait savoir que toute intrusion à l'avenir dans ce commerce interviendrait contra sa volonté. L'appelant allègue toutefois qu'il pensait que l'interdiction d'entrée avait pris fin. Cette explication est dépourvue de crédibilité déjà du simple fait que la durée de trois ans apparaissait explicitement sur le document, qui lui a été notifié dans une langue qu'il maîtrise et qu'il a accepté de signer. En outre, s'il avait véritablement compris que la durée de l'interdiction était limitée à un an, l'on ne comprend pas bien, et il ne l'explique pas, les raisons pour lesquels il s'est refusé à pénétrer dans le magasin pendant presque deux ans, alors qu'il a dit se rappeler de l'année de notification. Enfin, l'interdiction de pénétrer en centre-ville, dont il se savait faire l'objet depuis une date récente, ne l'a pas empêché de se rendre précisément au cœur de la ville de Genève, ce qui démontre qu'il ne fait pas grand cas d'une décision de l'autorité et donc, a fortiori , d'une décision établie par le service de sécurité d'un magasin. Dans tous les cas, l'appelant a admis être entré dans ledit commerce pour y commettre un vol, pour lequel il a d'ailleurs été condamné et qu'il ne remet pas en cause, étant précisé que lorsqu'il a été interpellé il n'était en possession d'aucune espèce ni carte de paiement, qui lui aurait permis de régler d'éventuels achats. Il s'ensuit que l'appelant a pénétré dans le magasin C______ dans un autre but que celui usuel d'achat de marchandise et, par conséquent, contre la volonté de l'ayant droit, ce que l'intéressé ne pouvait ignorer. Le verdict de culpabilité pour le chef d'infraction à l'art. 186 CP sera ainsi confirmé et l'appel rejeté sur ce point.</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 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6B_1428/2016 du 3 octobre 2017 consid. 4.1 ; 6B_326/2016 du 22 mars 2017 consid. 4.1). 3.1.2. En avril 2012, le Conseil fédéral a soumis au Parlement un projet portant réforme du droit des sanctions (Message relatif à la modification du Code pénal et du Code pénal militaire du 4 avril 2012, FF 2012 4385 ss). Les nouvelles dispositions proposées ont été débattues par le Parlement qui a procédé à quelques ajustements. Elles sont entrées en vigueur le 1er janvier 2018 (M. DUPUIS / L. MOREILLON / C. PIGUET / S. BERGER / M. MAZOU / V. RODIGARI [éds], Code pénal - Petit commentaire , 2 e éd., Bâle 2017, Rem. prél. n. 4 ad art. 34 à 41). Cette réforme marque incontestablement un durcissement du droit des sanctions. La peine pécuniaire sera désormais de trois jours au moins et jusqu'à 180 jours (art. 34 al. 1 CP). Le montant du jour-amende devra être arrêté à CHF 30.- au moins et à CHF 3'000.- au plus, sous réserve de circonstances exceptionnelles justifiant la réduction à CHF 10.- (art. 34 al. 2 CP). La peine privative de liberté devra être de trois jours au moins et de vingt ans au plus, sous réserve d'une peine privative de liberté à vie lorsque la loi le prévoit expressément (art. 40 CP). Si le sursis n'est guère remanié pour ce qui concerne la peine privative de liberté, il ne s'applique plus, à titre de sursis partiel, pour ce qui concerne la peine pécuniaire et ne s'applique plus au travail d'intérêt général, qui devient une modalité d'exécution d'une peine privative de liberté de six mois au plus, d'un solde de peine de six mois au plus après imputation de la détention avant jugement, ou d'une peine pécuniaire ou d'une amende (art. 79a CP). A titre de sanction immédiate, le juge peut, en sus du sursis, prononcer une amende (art. 42 al. 4 CP) (M. DUPUIS et al., op.cit. , Rem. prél. n. 5 ad art. 34 à 41). A l'aune de l'art. 2 CP, cette réforme du droit des sanctions est moins favorable à la personne condamnée qui pourra ainsi revendiquer l'application du droit en vigueur au 31 décembre 2017 si les actes qu'il a commis l'ont été sous l'empire de ce droit. Le Code contient en outre une disposition transitoire qui précise qu'il ne peut y avoir de sursis à l'exécution de la peine qu'en cas de circonstances particulièrement favorables si, durant les cinq ans qui précèdent l'infraction, l'auteur a été condamné à une peine pécuniaire de plus de 180 jours-amende en vertu de l'ancien droit (M. DUPUIS et al., op.cit. , Rem. prél. n. 6 ad art. 34 à 41). 3.1.3. À teneur de l'art. 48 let. a ch. 2 CP, le juge atténue la peine notamment si l'auteur a agi dans une détresse profonde. La détresse profonde est réalisée lorsque l'auteur est poussé à transgresser la loi pénale par une situation proche de l'état de nécessité, c'est-à-dire que, sous la pression d'une détresse particulièrement grave, de nature matérielle ou morale, il croit ne pouvoir trouver une autre issue que dans la commission de l'infraction (ATF 107 IV 94 consid. 4a). 3.1.4. Sur le plan objectif, les peine pécuniaire, travail d'intérêt général et peine privative de liberté de six mois au moins et de deux ans au plus, peuvent être assorties du sursis total (cf. art. 42 al. 1 aCP).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p. 185 s.). Le juge doit par ailleurs motiver sa décision de manière suffisante (cf. art. 50 CP). Sa motivation doit permettre de vérifier s'il a tenu compte de tous les éléments pertinents et comment ils ont été appréciés. Le nouveau droit pose des exigences moins élevées quant au pronostic pour l'octroi du sursis. Auparavant, il fallait que le pronostic soit favorable. Le sursis est désormais la règle dont on ne peut s'écarter qu'en présence d'un pronostic défavorable. Il prime en cas d'incertitude (ATF 135 IV 180 consid. 2.1 p. 185 s. et les références ; ATF 134 IV 140 consid. 4.2 p. 143 ; arrêts du Tribunal fédéral 6B_1339/2016 du 23 mars 2017 consid. 1.1.1 ; 6B_372/2016 du 22 mars 2017 consid. 4). 3.2.1. En l'espèce, les faits reprochés à l'appelant dans le cadre de la présente procédure sont antérieurs à l'entrée en vigueur des nouvelles dispositions sur le droit des sanctions. Celles-ci n'étant pas plus favorables à l'appelant que celles qui étaient en vigueur au moment de la commission des infractions, elles ne trouvent pas application. L'ancien droit est donc applicable. 3.2.2. S'agissant de la quotité de la peine prononcée, sa nature n'ayant pas été contestée, la faute de l'appelant est de gravité moyenne et il y a concours d'infractions. Il a dérobé du parfum pour un montant supérieur à CHF 1'000.- et a violé diverses interdictions d'entrée et de périmètre. Pour précaire qu'elle soit, la condition de l'appelant ne justifie pas son comportement, ce d'autant que, selon ses propres dires, son frère l'aide financièrement. Cette précarité résulte d'ailleurs de son obstination à demeurer sur le territoire suisse, alors que sa demande d'asile a été rejetée depuis longtemps, qu'il pourrait retourner auprès des siens, travailler dans son pays d'origine et même rejoindre son frère en France, où un travail l'attend. Sa collaboration à la procédure a été moyenne, dès lors qu'il a été interpellé en flagrant délit, conteste la violation de domicile et allègue avoir agi pour la première fois, malgré ses antécédents. Aucune des circonstances atténuantes de l'art. 48 CP n'est réalisée, le dossier ne renfermant aucun indice concret permettant de retenir l'existence d'une menace grave ou d'un état de nécessité excusable en lien avec les infractions de violation de domicile et de vol, étant précisé que l'appelant a dérobé du parfum, soit un bien qui n'est pas de première nécessité. Enfin, l'appelant ne réunit pas les conditions du sursis, vu ses nombreux antécédents récents et spécifiques, ce qui justifie le prononcé d'une peine ferme. Malgré ce qu'il soutient, la possibilité de travail offerte par son frère depuis plus d'un an, son refus d'y donner suite et les nombreuses infractions commises depuis lors, démontrent au contraire que le pronostic d'avenir est plus que défavorable. Le jugement attaqué sera également confirmé sur ce point et l'appel rejeté.</w:t>
      </w:r>
    </w:p>
    <w:p>
      <w:r>
        <w:rPr>
          <w:b/>
        </w:rPr>
        <w:t>E. 4.1</w:t>
      </w:r>
    </w:p>
    <w:p>
      <w:r>
        <w:t>Conformément à l'art. 66 a al. 1 let. d CP, le juge expulse un étranger du territoire suisse pour une durée de cinq à quinze ans s'il est reconnu coupable de vol (art. 139 CP) en lien avec une violation de domicile (art. 186 CP), quelle que soit la quotité de la peine prononcée à son encontre, pour une durée de cinq à quinze ans. Selon l'al. 2 de cette disposition, il peut néanmoins être renoncé à l'expulsion, exceptionnellement, lorsque celle-ci mettrait l'étranger dans une situation personnelle grave et que les intérêts public à l'expulsion ne l'emportent pas sur son intérêt à demeurer en Suisse, la situation de celui qui est né et a grandi en Suisse méritant une prise en compte particulière ( AARP/119/2017 du 20 mars 2017 consid. 4.1).¨ L'application de l'art. 66 a al. 2 CP impose le respect du principe de proportionnalité. En d'autres termes, le juge doit faire une pesée des intérêts entre celui public à l'éloignement et la situation personnelle du condamné (G. FIOLKA / L. VETTERLI, Landesverweisung nach Art. 66a StGB als strafrechtliche Sanktion , cahier spécial, Plädoyer 5/16, p. 87 ; K. KÜMIN, Darf eine Aufenthaltsbewilligung widerrufen werden, nachdem von einer Landesverweisung abgesehen wurde ? , Jusletter 28 novembre 2016, p. 14). Concernant le premier volet, le juge considérera pour commencer la quotité de la peine : plus lourde sera celle-ci et plus grand sera l'intérêt public à expulser l'étranger (M. BUSSLINGER / P. UEBERSAX, Härtefallklausel und migrationsrechtliche Auswirkungen der Landesverweisung , cahier spécial, Plaidoyer 5/2016, p. 103). Ce résultat sera renforcé par le type d'infraction commise : si celle-ci atteint la vie, l'intégrité corporelle ou sexuelle, voire la santé d'un grand nombre de personne en application d'une aggravante à la LStup, l'intérêt public sera plus élevé (M. BUSSLINGER / P. UEBERSAX, op. cit. , p. 103). Quoiqu'il en soit, l'intérêt privé de l'intéressé à rester en Suisse devra s'analyser sans perdre de vue que les dispositions de la CEDH restent contraignantes (ATF 139 I 16 consid. 4.2. et 5 ss ; M. BUSSLINGER / P. UEBERSAX , op. cit. , p. 97 ; K. KÜMIN, op. cit. , p. 14 ; G. MÜNCH / F. DE WECK Die neue Landesverweisung, in Art. 66a ff. StGB , Revue de l'avocat 2016, p. 166). La jurisprudence rendue sur l'art. 8 CEDH est ainsi applicable à la pesée des intérêts de l'art. 66abis CP, avec comme critères déterminants : la gravité de l'infraction, la culpabilité de l'auteur, le temps écoulé depuis l'infraction, le comportement de celui-ci pendant cette période et le risque de récidive, le degré de son intégration et la durée de son séjour en Suisse, ainsi que les inconvénients qui le menacent, lui et sa famille, en cas de révocation, l'intensité de ses liens avec la Suisse et les difficultés de réintégration dans son pays d'origine (S. GRODECKI, Nouveautés en droit des sanctions : de la peine pécuniaire à l’expulsion , Conférence organisée par le Comité de la Société genevoise de droit et de législation, janvier 2017 ; G. MÜNCH / F. DE WECK, op. cit. , p. 166). Les antécédents judiciaires antérieurs au 1er octobre 2016 sont aussi à prendre en considération, y compris les antécédents de droit pénal des mineurs (ATF 123 IV 107 consid. 3 et les références citées).</w:t>
      </w:r>
    </w:p>
    <w:p>
      <w:r>
        <w:rPr>
          <w:b/>
        </w:rPr>
        <w:t>E. 4.2</w:t>
      </w:r>
    </w:p>
    <w:p>
      <w:r>
        <w:t>En l'espèce, l'appelant ayant été reconnu coupable de vol et de violation de domicile, son expulsion est obligatoire (art. 66a al. 1 let. d CP). Une éventuelle renonciation ne peut intervenir qu'exceptionnellement, au cas où l'expulsion mettrait l'appelant dans une situation grave et où son intérêt à rester en Suisse serait supérieure à celui de la collectivité à le renvoyer en Algérie. L'hypothèse principalement visée est celle d'un étranger né en Suisse ou y ayant grandi. L'appelant, arrivé en Suisse en 2005, cumule, depuis le ___ 2008, plus de vingt condamnations. Certes, il s'agit d'infractions exemptes de violences, mais son comportement récidiviste démontre qu'il n'est assurément pas intégré. Au demeurant, il n'a aucune attache avec la Suisse, dans la mesure où il dit ne jamais y avoir travaillé légalement et où sa famille, hormis son frère qui réside en France, vit en Algérie. Il n'a par ailleurs pas de domicile fixe ni de moyens d'existence. Comme évoqué supra (ch. 3.2.2), son projet d'avenir évoqué durant la présente procédure, soit sa prétendue volonté de rejoindre son frère en France, semble de pure circonstance, dès lors qu'il aurait pu partir depuis plus d'un an. Même s'il maîtrise le français, ses chances de réintégration sont plus que ténues, compte tenu de son statut juridique au regard du droit des étrangers, étant rappelé que sa demande d'asile a été rejetée et qu'il fait l'objet d'une interdiction d'entrée sur le territoire helvétique. Enfin, hormis son refus de rentrer en Algérie, où il pourrait d'ailleurs exercer la profession de boulanger comme par le passé, il n'allègue pas en quoi cela pourrait lui porter préjudice. Une telle situation ne saurait justifier qu'il soit renoncé à expulser l'appelant. Au vu des éléments exposés ci-dessus, une expulsion pour une durée de cinq ans est adéquate et proportionnée aux circonstances du cas d'espèce, de sorte que la décision du Tribunal de police sera confirmée et l'appel rejeté.</w:t>
      </w:r>
    </w:p>
    <w:p>
      <w:r>
        <w:rPr>
          <w:b/>
        </w:rPr>
        <w:t>E. 5</w:t>
      </w:r>
    </w:p>
    <w:p>
      <w:r>
        <w:t>Les motifs ayant conduit le premier juge à prononcer, par ordonnance séparée du 9 novembre 2017, le maintien de l'appelant, en détention pour des motifs de sûreté sont toujours d'actualité, ce que celui-ci ne conteste au demeurant pas, de sorte que la mesure sera reconduite mutatis mutandis (ATF 139 IV 277 consid. 2.2 à 2.3).</w:t>
      </w:r>
    </w:p>
    <w:p>
      <w:r>
        <w:rPr>
          <w:b/>
        </w:rPr>
        <w:t>E. 6</w:t>
      </w:r>
    </w:p>
    <w:p>
      <w:r>
        <w:t>L'appelant, qui succombe, supportera l'entier des frais de la procédure envers l'État (art. 428 CPP), lesquels comprennent un émolument de jugement de CHF 1'500.- (art. 14 al. 1 let. e du Règlement fixant le tarif des frais en matière pénale du 22 décembre 2010 [RTFMP - RS E 4 10.03]).</w:t>
      </w:r>
    </w:p>
    <w:p>
      <w:r>
        <w:rPr>
          <w:b/>
        </w:rPr>
        <w:t>E. 7</w:t>
      </w:r>
    </w:p>
    <w:p>
      <w:r>
        <w:t>7.1.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7.2.1.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cf. décision de la Cour des plaintes du Tribunal pénal fédéral BB.2013.127 du 4 décembre 2013 consid. 3/4.2-4.4) : avocat stagiaire CHF 65.- (let. a)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7.2.2.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 arrêts du Tribunal fédéral 6B_986/2015 du 23 août 2016 consid. 5.2 et la référence citée et 6B_675/2015 précité consid. 3.1 ; décision du Tribunal pénal fédéral BB.2015.85 du 12 avril 2016 consid. 3.2.3).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rPr>
          <w:b/>
        </w:rPr>
        <w:t>E. 7.3</w:t>
      </w:r>
    </w:p>
    <w:p>
      <w:r>
        <w:t>En l'espèce, l'activité de M e B______ est en adéquation avec la nature, l'importance et la difficulté de la cause. En conclusion, l'indemnité sera arrêtée à CHF 680.40 correspondant à une heure d'activité au tarif de CHF 200.-/heure et 5 heures au tarif de CHF 65.-/heure et comprenant la majoration forfaitaire de 20% (CHF 105.-) et l'équivalent de la TVA au taux de 8% (CHF 50.40).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