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P/18738/2016 vom 11. Februar 2019</w:t>
      </w:r>
    </w:p>
    <w:p>
      <w:r>
        <w:t>GE Cour de justice, 2019-02-11, FR</w:t>
      </w:r>
    </w:p>
    <w:p>
      <w:r>
        <w:rPr>
          <w:b/>
        </w:rPr>
        <w:t xml:space="preserve">Quelle: </w:t>
      </w:r>
      <w:r>
        <w:t>https://mcp.opencaselaw.ch/entscheid/ge_gerichte_P_18738_2016</w:t>
      </w:r>
    </w:p>
    <w:p>
      <w:r>
        <w:t>FR: GE_GERICHTE P/18738/2016 du 11 février 2019</w:t>
      </w:r>
    </w:p>
    <w:p>
      <w:r>
        <w:t>IT: GE_GERICHTE P/18738/2016 del 11 febbraio 2019</w:t>
      </w:r>
    </w:p>
    <w:p>
      <w:pPr>
        <w:pStyle w:val="Heading2"/>
      </w:pPr>
      <w:r>
        <w:t>Regeste</w:t>
      </w:r>
    </w:p>
    <w:p>
      <w:r>
        <w:t>CIRCULATION ROUTIÈRE(DROIT DE LA CIRCULATION ROUTIÈRE); EXCÈS DE VITESSE; IN DUBIO PRO REO; RÉCIDIVE(INFRACTION); DÉFENSE D'OFFICE | LCR.90; LCR.96; LCR.97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129 I 151 consid. 3.1 p. 153 s. et les références ; 125 I 127 consid. 6c/dd p. 135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(arrêts du Tribunal fédéral 6B_947/2015 du 29 juin 2017 consid. 10.2.2.6.4 et les références ; 6B_862/2015 du 7 novembre 2016 consid. 4.3.3).</w:t>
      </w:r>
    </w:p>
    <w:p>
      <w:r>
        <w:rPr>
          <w:b/>
        </w:rPr>
        <w:t>E. 2.2</w:t>
      </w:r>
    </w:p>
    <w:p>
      <w:r>
        <w:t>.1.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 d'au moins 50 km/h, là où la limite était fixée à 50 km/h et d'au moins 60 km/h, là où la limite était fixée à 80 km/h (art. 90 al. 4 let. b et c LCR).</w:t>
      </w:r>
    </w:p>
    <w:p>
      <w:r>
        <w:rPr>
          <w:b/>
        </w:rPr>
        <w:t>E. 2.2.2</w:t>
      </w:r>
    </w:p>
    <w:p>
      <w:r>
        <w:t>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doit ainsi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w:t>
      </w:r>
    </w:p>
    <w:p>
      <w:r>
        <w:rPr>
          <w:b/>
        </w:rPr>
        <w:t>E. 2.3</w:t>
      </w:r>
    </w:p>
    <w:p>
      <w:r>
        <w:t>L'appelant n'a jamais contesté l'importance du dépassement de vitesse de 74 km/h, marge de sécurité de 5 km/h déduite, sur un tronçon limité à 80 km/h, tel qu'enregistré par un radar le 23 juin 2016 dans l'après-midi, ni la qualification d'infraction à l'art. 90 al. 3 et 4 let. c LCR. Il ne remet pas formellement en cause le fait d'avoir conduit le véhicule automobile incriminé, notamment à cette date, alors qu'il était employé comme chauffeur de la société détentrice. Il n'exclut pas non plus totalement avoir pu être l'auteur de cet excès de vitesse, dont il prétend ne plus se souvenir, expliquant toutefois qu'il s'en serait rendu compte dans la mesure où il a été condamné pour cette raison en 2015 et depuis lors se dit être sensibilisé à cette problématique. A teneur du tableau d'activité fourni par son ex-employeur, il est le seul à avoir conduit le véhicule incriminé le jour des faits, ses deux collègues ayant pris le volant de deux autres voitures. Il a, à teneur d'un tableau qu'il a lui-même rempli et dont il ne conteste pas la teneur, mentionnant expressément le numéro de plaque de la voiture concernée par l'excès de vitesse, fait un plein de carburant pour CHF 66.- ledit jour, soit nettement supérieur aux trois autres pleins de la semaine pour des coûts de CHF 10.- à CHF 40.-. S'il a expliqué avoir pour destinations régulières les agglomérations de M______ (VD), Zurich et BERNE, il ne prétend pas s'y être rendu le jour en question, ce qui aurait pu expliquer ce besoin accru de carburant. En revanche, il a reconnu s'être rendu jusqu'à plusieurs fois par semaine à proximité de la douane " de E______ (GE) ". L'appelant a finalement concédé qu'un collègue n'avait pas pu emprunter ce véhicule dans le but de lui rendre le service de faire le plein de carburant documenté vu l'importance de la distance séparant le siège de la société, à W______ (VD), du lieu de l'excès de vitesse, à C______ (GE), sur l'autoroute de contournement de l'agglomération de Genève, ce qui ne ferait aucun sens. Enfin, l'appelant a été condamné pour faits spécifiques en mars 2015 et connait les tenants et aboutissants d'une violation grave des règles de la circulation routière, impliquant notamment, au niveau administratif, le retrait du permis de conduire pour une certaine durée, ce qu'il a admis lui causer un préjudice certain puisque le privant de son activité lucrative à tout le moins sur le sol suisse. Il est ainsi établi au-delà de tout doute raisonnable qu'il a bien conduit le véhicule incriminé le jour des faits, ce qui est corroboré en dernier lieu par les déclarations de son ancien employeur, quand bien même tant le créneau horaire durant lequel son ancien employé a travaillé ni la distance exactement parcourue le jour des faits font défaut en l'absence de données tachygraphiques et d'indication par l'appelant du kilométrage constaté à la fin de sa journée de travail sur le tableau ad hoc . Compte tenu de ces éléments, quand bien même cet employeur – dont l'implication peut être exclue dans la mesure où il a indiqué s'être alors trouvé en déplacement à l'étranger, ce qui n'est remis en cause par l'appelant qu'en appel – aurait éventuellement une raison de voir incriminé l'appelant plutôt qu'un autre de ses employés encore en fonction qui se verrait privé de son permis de conduire vu la nature de l'infraction en cause, la CPAR considère qu'il existe un faisceau d'indices convergents suffisant pour retenir que l'appelant est bien l'auteur de l'excès de vitesse du 23 juin 2016. Sa condamnation pur infraction à l'art. 90 al. 3 et 4 let. c LCR sera partant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3.1.4. 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3.1.5.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3.1.6. Les nouvelles dispositions sur le droit des sanctions sont entrées en vigueur le 1er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3.1.7.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3.1.8.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3.2</w:t>
      </w:r>
    </w:p>
    <w:p>
      <w:r>
        <w:t>L'appelant ne conteste la peine ni dans sa nature, ni dans sa quotité dans l'hypothèse d'une confirmation du verdict de culpabilité. La sanction de 18 mois de peine privative de liberté, assortie du sursis – lequel lui est acquis (art. 391 al. 2 CPP) – et d'un délai d'épreuve de trois ans, consacre une application correcte des critères fixés à l'art. 47 CP. Elle tient compte de manière adéquate de la gravité de la faute de l'appelant, de sa responsabilité pleine et entière, de sa collaboration toute relative à la procédure, contestant encore en appel sa culpabilité pour l'infraction la plus grave, et de l'absence de toute prise de conscience du caractère pénalement répréhensible de ses actes s'agissant de ladite infraction. Cette sanction tient également justement compte de sa situation personnelle, en particulier de sa précédente condamnation pour faits spécifiques. La CPAR se réfère à cet égard aux développements du premier juge (art. 82 al. 4 CPP). Cette peine sera partant confirmée.</w:t>
      </w:r>
    </w:p>
    <w:p>
      <w:r>
        <w:rPr>
          <w:b/>
        </w:rPr>
        <w:t>E. 4</w:t>
      </w:r>
    </w:p>
    <w:p>
      <w:r>
        <w:t>4.1.1. Si, durant le délai d'épreuve, le condamné commet un crime ou un délit et qu'il y a dès lors lieu de prévoir qu'il commettra de nouvelles infractions, le juge révoque le sursis ou le sursis partiel (art. 46 al.1 CP). S'il n'y a pas lieu de prévoir que le condamné commettra de nouvelles infractions, le juge renonce à ordonner la révocation. Il peut adresser au condamné un avertissement et prolonger le délai d'épreuve de la moitié au plus de la durée fixée dans le jugement. 4.1.2.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rPr>
          <w:b/>
        </w:rPr>
        <w:t>E. 4.2</w:t>
      </w:r>
    </w:p>
    <w:p>
      <w:r>
        <w:t>En l'espèce l'appelant a récidivé dans la commission d'une infraction spécifique et même d'une gravité supérieure à celle alors commise durant le délai d'épreuve fixé par le MP le 27 mars 2015. C'est dire qu'il n'a pas compris le sens de cette première sanction. En le mettant au bénéfice du sursis pour l'infraction du 23 juin 2016, le premier juge a toutefois exclu que soit posé un pronostic défavorable. La peine présentement confirmée est clairement de nature à dissuader l'appelant de la commission de nouvelles infractions vu sa quotité, quand bien même elle est assortie du sursis, de sorte que la CPAR renoncera à révoquer celui du 27 mars 2015. Elle adressera par contre un avertissement à l'appelant et prolongera le délai d'épreuve de 1,5 an.</w:t>
      </w:r>
    </w:p>
    <w:p>
      <w:r>
        <w:rPr>
          <w:b/>
        </w:rPr>
        <w:t>E. 5</w:t>
      </w:r>
    </w:p>
    <w:p>
      <w:r>
        <w:t>5.1.1.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5.1.2.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5.1.3. En vertu de l'art. 436 al. 2 CPP, lorsque ni un acquittement total ou partiel ni un classement ne sont prononcés, le prévenu peut prétendre à une juste indemnité dans la procédure de recours ( Rechtsmittelverfahren )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Strafprozessordnung – Jugendstrafprozessordnung, Basler Kommentar StPO / JStPO , 2e éd., Bâle 2014, n. 10 ad art. 436). 5.2.1. En l'espèce, une partie des faits, soit l'infraction à l'art. 95 al. 1 let. b LCR reprochée initialement, a été abandonnée au stade du jugement de première instance, faute de réalisation de la condition subjective, bien que résultant de la demande du MP formulée à l'audience. Une condamnation à la totalité des frais de première instance violerait ainsi le principe de la présomption d'innocence. Il y a par conséquent lieu de faire supporter à l'appelant les 4/5 èmes des frais de la procédure de première instance, l'instruction des faits en cause n'ayant donné lieu qu'à quelques questions devant le premier juge, soit CHF 1'247.20, le solde de ces frais étant laissé à charge de l'Etat. 5.2.2. En appel, l'appelant succombe quasi intégralement, sa culpabilité et sa peine n'ayant pas été modifiées. Il obtient gain de cause uniquement et partiellement s'agissant de la non révocation du sursis du 27 mars 2015. Il se justifie par conséquent de lui faire supporter les 4/5 èmes des frais de la procédure, qui comprennent dans leur totalité un émolument de CHF 2'000.- (art. 14 al. 1 let. e du Règlement fixant le tarif des frais en matière pénale [RTFMP - E 4 10.03] et 428 al. 2 let. b CPP). Le solde de ces frais sera laissé à charge de l'Etat.</w:t>
      </w:r>
    </w:p>
    <w:p>
      <w:r>
        <w:rPr>
          <w:b/>
        </w:rPr>
        <w:t>E. 6</w:t>
      </w:r>
    </w:p>
    <w:p>
      <w:r>
        <w:t>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 AARP/184/2016 du 28 avril 2016 consid. 5.3.1 et AARP/158/2016 du 22 avril 2016 consid. 6.3 [lecture du jugement admise]). 6.2.4.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6.3</w:t>
      </w:r>
    </w:p>
    <w:p>
      <w:r>
        <w:t>En application de ces principes, il convient de retrancher de l'état de frais de M e V______ : ·      les durées de 30 minutes, respectivement 45 minutes correspondant aux postes d'" Analyse du jugement de première instance du TPol " et " Analyse opportunité d'appel contre le jugement du TPol ", activités couvertes par le forfait et consistant en l'état à la prise de connaissance d'un jugement tenant sur 13 pages, y compris celles de garde, de taxation et indiquant les voies de recours, traitant d'un complexe de faits dénué de toute difficulté et censé être bien connu du conseil pour l'avoir plaidé en première instance ;![endif]&gt;![if&gt; ·      1h30 du poste " Rédaction partielle de la motivation de l'appel " du 18 novembre 2018, apparaissant en lien avec la déclaration d'appel du 21 novembre 2018, acte qui n'a pas à être motivé et entre dans le forfait pour activités diverses ; ![endif]&gt;![if&gt; ·      4h des postes " Rédaction de la déclaration d'appel et recherches juridiques " ainsi que " Rédaction de la motivation de l'appel et recherches juridiques " du 28 novembre 2018, étant rappelé que les recherches juridiques ne sont pas indemnisées, qu'il n'est manifestement pas question in casu d'une quelconque problématique particulièrement pointue et que la rédaction de la déclaration d'appel n'est pas indemnisée au-delà du forfait. 8h pour la rédaction du mémoire d'appel motivé s'avèrent amplement suffisantes dans le cas d'espèce, encore une fois dénué de toute complexité.![endif]&gt;![if&gt;</w:t>
      </w:r>
    </w:p>
    <w:p>
      <w:r>
        <w:rPr>
          <w:b/>
        </w:rPr>
        <w:t>E. 6.4</w:t>
      </w:r>
    </w:p>
    <w:p>
      <w:r>
        <w:t>En conclusion, l'indemnité sera arrêtée à CHF 1'243.95 correspondant à 8h45 d'activité au tarif de CHF 110.-/heure (CHF 962.50) plus la majoration forfaitaire de 20% (CHF 192.50) et l'équivalent de la TVA au taux de 7.7% (CHF 88.95).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