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P/18656/2022 vom 16. März 2023</w:t>
      </w:r>
    </w:p>
    <w:p>
      <w:r>
        <w:t>GE Cour de justice, 2023-03-16, FR</w:t>
      </w:r>
    </w:p>
    <w:p>
      <w:r>
        <w:rPr>
          <w:b/>
        </w:rPr>
        <w:t xml:space="preserve">Quelle: </w:t>
      </w:r>
      <w:r>
        <w:t>https://mcp.opencaselaw.ch/entscheid/ge_gerichte_P_18656_2022</w:t>
      </w:r>
    </w:p>
    <w:p>
      <w:r>
        <w:t>FR: GE_GERICHTE P/18656/2022 du 16 mars 2023</w:t>
      </w:r>
    </w:p>
    <w:p>
      <w:r>
        <w:t>IT: GE_GERICHTE P/18656/2022 del 16 marzo 2023</w:t>
      </w:r>
    </w:p>
    <w:p>
      <w:pPr>
        <w:pStyle w:val="Heading2"/>
      </w:pPr>
      <w:r>
        <w:t>Regeste</w:t>
      </w:r>
    </w:p>
    <w:p>
      <w:r>
        <w:t>ORDONNANCE DE NON-ENTRÉE EN MATIÈRE;ESCROQUERIE | CPP.310; CP.146</w:t>
      </w:r>
    </w:p>
    <w:p>
      <w:pPr>
        <w:pStyle w:val="Heading2"/>
      </w:pPr>
      <w:r>
        <w:t>Erwägungen</w:t>
      </w:r>
    </w:p>
    <w:p>
      <w:r>
        <w:rPr>
          <w:b/>
        </w:rPr>
        <w:t>E. 1</w:t>
      </w:r>
    </w:p>
    <w:p>
      <w:r>
        <w:t>Le recours est recevable pour avoir été déposé selon la forme et – les réquisits de l'art. 85 al. 2 CPP n'ayant pas été observés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ne pas être entré en matière sur sa plainte pénale. ![endif]&gt;![if&gt;</w:t>
      </w:r>
    </w:p>
    <w:p>
      <w:r>
        <w:rPr>
          <w:b/>
        </w:rPr>
        <w:t>E. 2.1</w:t>
      </w:r>
    </w:p>
    <w:p>
      <w:r>
        <w:t>La maxime de l'instruction ou inquisitoire, que consacre l'art. 6 al. 1 CPP impose à l'autorité de rechercher tous les moyens de preuves (art. 139 CPP) propres à établir l'éventuelle commission d'une infraction dénoncée (Y. JEANNERET / A. KUHN, Précis de procédure pénale , 2 ème éd., 2018, n. 4087).</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2.3</w:t>
      </w:r>
    </w:p>
    <w:p>
      <w:r>
        <w:t>Même s'il est admis que les éléments constitutifs de l'infraction sont dénoncés, 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Il en va ainsi, par exemple, si les investigations possibles doivent se dérouler, sur commissions rogatoires, dans un pays étranger pour tenter de découvrir les auteurs de l'infraction. Cela pourrait concerner notamment des détenteurs d'adresses IP, voire de bitcoin, celles-ci pouvant vraisemblablement être localisées dans d'autres contrées, voire ne plus exister actuellement. Il sied dans un tel cadre de mettre en balance les intérêts en jeu (arrêt du Tribunal fédéral 1B_67/2012 du 29 mai 2012 consid. 3.2; ACPR/888/2021 du 16 décembre 2021 consid. 3.2).</w:t>
      </w:r>
    </w:p>
    <w:p>
      <w:r>
        <w:rPr>
          <w:b/>
        </w:rPr>
        <w:t>E. 2.4</w:t>
      </w:r>
    </w:p>
    <w:p>
      <w:r>
        <w:t>En l'espèce, il n'est pas déterminant que l'infraction dénoncée apparaisse comme réalisée. Seule l'est la possibilité – ou non – d'obtenir des éléments utiles à la poursuite permettant de fonder des soupçons envers un ou plusieurs auteurs. Contrairement à ce que soutient le recourant, les informations recueillies par ses investigations privées et celles de la police n'établissent pas avec certitude l'identité du ou des malfaiteur(s). Certes, le suivi des transactions portant sur les valeurs patrimoniales du recourant a abouti à la découverte d'adresses où des parts de sa monnaie virtuelle se sont ultimement retrouvées. Cette destination a toutefois succédé à plusieurs opérations survenues sur des plateformes d'échange de crypto-monnaies, entre différents portefeuilles numériques. Rien ne permet dès lors d'affirmer – à l'instar des rapports privés produits par le recourant, qui n'ont au demeurant que la valeur d'un simple allégué (ATF 142 II 355 consid. 6 p. 359) – que les détenteurs des comptes par lesquels les avoirs ont transité connaissaient leur origine illicite. Cette théorie serait d'ailleurs mise à mal par l'adresse identifiée chez C______, appartenant à un utilisateur institutionnel dont rien ne laisse penser – a priori – qu'il serait impliqué dans les faits dénoncés. Compte tenu de ce qui précède, connaître le nom du détenteur d'un compte où se trouvent des valeurs patrimoniales du recourant ne suffit pas à établir des soupçons contre la personne concernée. Partant, aucun auteur présumé ne peut encore faire l'objet d'une prévention. À cela s'ajoute qu'aucun acte complémentaire n'apparaît susceptible d'apporter des éléments utiles. Toutes les plateformes mentionnées dans les rapports privés ont d'ores et déjà été sollicitées pour obtenir des informations. Hormis les trois noms obtenus – dont l'un est un utilisateur institutionnel sis aux Seychelles, l'autre est inexploitable à défaut de documents d'identité et le dernier possède une adresse en Inde – le reste des données n'a pas permis d'aboutir à une piste concrète. Dans ces conditions, les chances de découvrir l'auteur de l'infraction sont extrêmement restreintes, pour ne pas dire inexistantes, et doivent être mises en balance avec le coût, la durée et la complexité des démarches complémentaires devant être entreprises. À cet égard, une demande d'entraide aux Seychelles, aux Îles Caïmans, en Inde ou aux États-Unis est difficilement envisageable (cf. www.rhf.admin.ch/rhf/fr/home/rechtshilfefuehrer.html). En effet, il n'existe aucun traité formel en la matière avec les trois premiers pays cités, ce qui ne permet même pas de garantir qu'une telle demande serait reçue, ni encore moins qu'une réponse y serait donnée. Pour les États-Unis, les critères posés sont difficiles à remplir et la durée pour obtenir les informations souhaitées, qui plus est sans certitude de succès, peut être particulièrement longue, allant jusqu'à douze mois. Durant ce laps de temps, l'auteur des faits peut transmettre l'argent dérobé sur d'autres adresses ou même l'utiliser, sans nécessairement le retirer, dans le cadre d'échanges par le biais de divers services liés à ce commerce. Dans ces conditions, son identification resterait, au bout du compte, impossible. Enfin, le recourant n'a pas chiffré ses prétentions civiles. La nature des crypto-monnaies étant très volatile, il est difficile d'établir le réel dommage subi, qui peut fortement fluctuer en fonction du cours d'une monnaie virtuelle. Ainsi, les investigations envisageables, par le biais de commissions rogatoires, dans quatre pays différents, apparaissent disproportionnées et excessives au regard du complexe de faits et du dommage subi par le recourant dont le montant n'est pas déterminé. À titre superfétatoire, il aurait pu être utile d'entendre le tiers à qui le recourant prétend avoir vendu trois montres de luxe et qui l'aurait payé avec la crypto-monnaie disparue par la suite, dans la mesure la transaction a nécessité le partage de l'adresse USDT et est intervenue quelques heures avant le piratage de celle-ci. Toutefois, le recourant refusant de donner son nom, il ne saurait y être procédé. Partant, c'est à bon droit que le Ministère public a estimé que ces éléments devaient conduire à une non-entrée en matière, étant précisé que la procédure pourra être reprise en cas de moyens de preuve ou de faits nouveaux (arrêt du Tribunal fédéral 1B_67/2012 du 29 mai 2012 consid. 3.2).</w:t>
      </w:r>
    </w:p>
    <w:p>
      <w:r>
        <w:rPr>
          <w:b/>
        </w:rPr>
        <w:t>E. 3</w:t>
      </w:r>
    </w:p>
    <w:p>
      <w:r>
        <w:t>Justifiée, l'ordonnance querellée sera donc confirmée. Le recours, qui s'avère mal fondé, pouvait être traité sans échange d'écritures, ni débats (art. 390 al. 2 et 5 a contrario CPP). ![endif]&gt;![if&gt;</w:t>
      </w:r>
    </w:p>
    <w:p>
      <w:r>
        <w:rPr>
          <w:b/>
        </w:rPr>
        <w:t>E. 4</w:t>
      </w:r>
    </w:p>
    <w:p>
      <w:r>
        <w:t>Le recourant, qui succombe, supportera les frais envers l'État, fixés en totalité à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