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P/18642/2018 vom 12. August 2024</w:t>
      </w:r>
    </w:p>
    <w:p>
      <w:r>
        <w:t>GE Cour de justice, 2024-08-12, FR</w:t>
      </w:r>
    </w:p>
    <w:p>
      <w:r>
        <w:rPr>
          <w:b/>
        </w:rPr>
        <w:t xml:space="preserve">Quelle: </w:t>
      </w:r>
      <w:r>
        <w:t>https://mcp.opencaselaw.ch/entscheid/ge_gerichte_P_18642_2018</w:t>
      </w:r>
    </w:p>
    <w:p>
      <w:r>
        <w:t>FR: GE_GERICHTE P/18642/2018 du 12 août 2024</w:t>
      </w:r>
    </w:p>
    <w:p>
      <w:r>
        <w:t>IT: GE_GERICHTE P/18642/2018 del 12 agosto 2024</w:t>
      </w:r>
    </w:p>
    <w:p>
      <w:pPr>
        <w:pStyle w:val="Heading2"/>
      </w:pPr>
      <w:r>
        <w:t>Regeste</w:t>
      </w:r>
    </w:p>
    <w:p>
      <w:r>
        <w:t>CONCOURS D'INFRACTIONS;DISPOSITIONS PÉNALES DE LA LSTUP | LStup.19BIS; LStup.19; CP.49</w:t>
      </w:r>
    </w:p>
    <w:p>
      <w:pPr>
        <w:pStyle w:val="Heading2"/>
      </w:pPr>
      <w:r>
        <w:t>Erwägungen</w:t>
      </w:r>
    </w:p>
    <w:p>
      <w:r>
        <w:rPr>
          <w:b/>
        </w:rPr>
        <w:t>E. 1</w:t>
      </w:r>
    </w:p>
    <w:p>
      <w:r>
        <w:t>1.1. 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1.2</w:t>
      </w:r>
    </w:p>
    <w:p>
      <w:r>
        <w:t>Les conclusions subsidiaires de l’appelant au terme de son mémoire d’appel sont recevables, s’inscrivant dans le cadre de sa déclaration d’appel. En revanche, dans la mesure où il semble dans cette écriture remettre en question les mesures de confiscation prononcées par le premier juge, qu’il n’a pas contestées dans sa déclaration d’appel, ces conclusions, nouvelles, formées après l’échéance du délai pour la déclaration d’appel, sont irrecevables.</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Dans le cadre du principe de libre appréciation des preuves, qui gouverne notamment l'appréciation des déclarations (arrêts du Tribunal fédéral 6B_716/2010 du 15 novembre 2010 consid. 1.3 ; 6B_360/2008 du 12 novembre 2008 consid. 4.3), rien ne s'oppose à ce que le juge ne retienne qu'une partie des déclarations d'un témoin globalement crédible (ATF 120 Ia 31 consid. 3 p. 39 ; arrêt du Tribunal fédéral 6B_637/2012 du 21 janvier 2013 consid. 5.4). Des déclarations successives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 cf. également arrêt du Tribunal fédéral 6B_283/2022 du 14 septembre 2022 consid. 2.4).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w:t>
      </w:r>
    </w:p>
    <w:p>
      <w:r>
        <w:rPr>
          <w:b/>
        </w:rPr>
        <w:t>E. 2.2</w:t>
      </w:r>
    </w:p>
    <w:p>
      <w:r>
        <w:t>Aux termes de l'art. 147 al. 1 CPP, les parties ont le droit d'assister à l'administration des preuves par le ministère public et les tribunaux et de poser des questions aux comparants. La présence des défenseurs lors des interrogatoires de police est régie par l'art. 159 CPP. Les preuves administrées en violation de l'art. 147 al. 1 CPP ne sont pas exploitables à la charge de la partie qui n'était pas présente (art. 147 al. 4 CPP ; ATF 143 IV 457 consid. 1.6.1 p. 459 ; ATF 140 IV 172 consid. 1.2.1 p. 175). L'art. 6 par. 3 let. d de la Convention de sauvegarde des droits de l’homme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(ATF 131 I 476 consid. 2.2 pp. 480 s. ; arrêt du Tribunal fédéral 6B_1023/2016 du 30 mars 2017 consid. 1.2.3).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est une preuve essentielle (ATF 131 I 476 consid. 2.2 p. 480 ; ATF 129 I 151 consid. 3.1 pp. 153 s.).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pp. 480 ss ; arrêt du Tribunal fédéral 6B_961/2016 du 10 avril 2017 consid. 3.3.1).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 du Tribunal fédéral 6B_456/2011 du 27 décembre 2011 consid. 1.1). Par ailleurs,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(ATF 137 IV 33 consid. 9.2 p. 49 ; arrêt du Tribunal fédéral 6B_956/2016 du 19 juillet 2017 consid. 2.3.1). La question de savoir s'il est possible d'utiliser les déclarations faites en l'absence du prévenu, en cas de déclarations contradictoires ou de trous de mémoires ultérieurs d'un témoin, ne concerne pas l'exploitabilité, mais l'appréciation des preuves (arrêts du Tribunal fédéral 6B_369/2013 du 31 octobre 2013 consid. 2.3.3 ; AARP/187/2017 du 18 mai 2017 consid. 2.4.). La preuve qui n'a pas été administrée en présence de la partie ou de son conseil juridique pourra être utilisée à son encontre lorsqu'aucune requête tendant à une confrontation n'a été déposée en temps. Le prévenu doit requérir la confrontation et son silence à cet égard permet d'en inférer qu'il y a renoncé (ATF 143 IV 397 consid. 3.4 ; arrêt du Tribunal fédéral 6B_1167/2018 du 23 janvier 2019 consid. 2.1).</w:t>
      </w:r>
    </w:p>
    <w:p>
      <w:r>
        <w:rPr>
          <w:b/>
        </w:rPr>
        <w:t>E. 2.3</w:t>
      </w:r>
    </w:p>
    <w:p>
      <w:r>
        <w:t>Selon l'art. 144 al. 1 CP, se rend coupable de dommage à la propriété quiconque endommage, détruit ou mis hors d'usage une chose appartenant à autrui ou frappée d'un droit d'usage ou d'usufruit au bénéfice d'autrui. L'infraction doit porter sur un objet corporel, mobilier ou immobilier, appartenant à autrui. L'atteinte peut consister à détruire ou à altérer la chose. L'auteur se rend coupable de dommages à la propriété dès qu'il cause un changement de l'état de la chose qui n'est pas immédiatement réversible sans frais ni effort et qui porte atteinte à un intérêt légitime (ATF 128 IV 250 consid. 2 p. 252 ; arrêts du Tribunal fédéral 6B_77/2017 du 16 janvier 2018 consid. 2.1 ; 6B_348/2012 du 24 octobre 2012 consid. 2.2).</w:t>
      </w:r>
    </w:p>
    <w:p>
      <w:r>
        <w:rPr>
          <w:b/>
        </w:rPr>
        <w:t>E. 2.4</w:t>
      </w:r>
    </w:p>
    <w:p>
      <w:r>
        <w:t>À teneur de l’art. 19 al. 1 let. c et d LStup, est puni d’une peine privative de liberté de trois ans au plus ou d’une peine pécuniaire celui qui, sans droit, aliène ou prescrit des stupéfiants, en procure de toute autre manière à un tiers ou en met dans le commerce et celui qui, sans droit, possède, détient ou acquiert des stupéfiants ou s’en procure de toute autre manière. L'art. 19 LStup ne réprime pas une infraction unique de « trafic de stupéfiants » réalisée par les différents comportements visés par cette disposition (art. 19 al. 1 LStup), qui pourraient être reprochés à un auteur sur une période donnée. Cette norme énumère au contraire de nombreux actes constituant chacun un état de fait poursuivi pour lui-même (ATF 133 IV 187 consid. 3.2 p. 192 ss ; arrêt du Tribunal fédéral 6B_704/2012 du 3 avril 2013 consid. 1.2). Il n'en va pas différemment de la répétition d'un même comportement réprimé (par exemple la vente réitérée à la même personne).</w:t>
      </w:r>
    </w:p>
    <w:p>
      <w:r>
        <w:rPr>
          <w:b/>
        </w:rPr>
        <w:t>E. 2.5</w:t>
      </w:r>
    </w:p>
    <w:p>
      <w:r>
        <w:t>Selon l’art. 19bis LStup, celui qui, sans indication médicale, propose, remet ou rend accessible de toute autre manière des stupéfiants à une personne de moins de 18 ans est puni d’une peine privative de liberté de trois ans au plus ou d’une peine pécuniaire. Cette norme pénale, entrée en vigueur le 1 er juillet 2011, est une lex specialis par rapport à l'art. 136 CP et vise à renforcer la répression contre les fournisseurs de drogues aux jeunes. Par rapport à l'art. 136 CP, l'âge de protection a été relevé à 18 ans et la quantité de stupéfiants remise n'est pas prise en compte (arrêt du Tribunal fédéral 6B_687/2019 du 9 septembre 2019). Si l’auteur exclut, à tort, avoir à faire à un mineur, il pourra se prévaloir d’une erreur sur les faits au sens de l’art. 13 CP ; son comportement le placera toutefois dans une situation identique puisqu’il sera alors poursuivi sous l’angle de l’art. 19 al. 1 LStup. La doctrine considère que l’erreur est alors inopérante et que l’auteur doit être puni au titre de l’art. 19bis LStup (S. GRODECKI / Y. JEANNERET, Petit commentaire LStup : dispositions pénales, Bâle 2022, n. 5 ad art. 19bis). L’art. 19bis LStup est une lex specialis également par rapport à l’art. 19 LStup ; elle peut entrer en concours parfait avec cette disposition lorsque l’auteur cumule les comportements, en cédant des stupéfiants tant à des mineurs qu’à des majeurs (ibid., n. 7 ad art. 19bis). 2.6.1. En l’espèce, l’appelant conteste tout d’abord être l’auteur des dommages à la propriété dans le tram, se prévalant du fait que ne figurent au dossier que des captures d’écran et non le film de vidéosurveillance, ainsi que du fait que le wattman aurait décrit l’absence de témoin alors que plusieurs quidams figurent sur les images de la procédure. Il soutient également qu’il est possible que la vitre du véhicule ait été préalablement fissurée, et qu’il n’avait pas la force suffisante pour briser une vitre d’une telle épaisseur. Les C______ ont précisé dans leur réponse que dite épaisseur était de 5.5 millimètres. Ces arguments confinent à la témérité. L’appelant s’est, tout au long de la procédure, reconnu sur les images et a toujours, à demi-mots, admis être l’auteur du bris de vitre. Il n’avait jamais contesté notamment que les images fournies par les C______ correspondent bien à l’incident décrit, ce qui a conduit la police, le MP et le TP à se contenter des extraits fournis par la partie plaignante, sans solliciter la production du film complet. Contester cette situation en appel, plus de cinq ans plus tard et alors que la bande vidéo n’est plus disponible, relève de la mauvaise foi. Il est par ailleurs établi que les dégâts ont été constatés par le wattman au terminus de Moillesullaz, et que les images figurant au dossier ont été prises juste avant ce constat : on conçoit mal pourquoi la partie plaignante les aurait sinon fournies à l’appui de sa plainte, étant rappelé que c’est la police qui a, sur leur base, identifié l’appelant. On voit clairement sur ces images l’appelant se projeter violemment vers la vitre du véhicule, même si aucune image de la vitre brisée ne figure au dossier. Par ailleurs, la consultation des images de vidéosurveillance d’un véhicule des C______ n’est pas possible dans le véhicule ; son conducteur, s’il ne voit pas un fait en direct, ne peut pas interrompre sa course pour examiner le film : cet examen se fait a posteriori. Il n’est donc pas surprenant que le conducteur, qui n’a apparemment pas été avisé par les passagers de ce qui s’était produit, ait mentionné qu’il n’y avait pas de témoin. Les tiers figurant sur les images n’ont pas été identifiés, et leur identification n’a d’ailleurs pas été nécessaire au vu des déclarations de l’appelant. Il est ainsi établi, à satisfaction de droit, que l’appelant a bien endommagé la vitre du tram. Il importe à cet égard peu que celle-ci ait, théoriquement, pu présenter une fragilité ou une faille, même si cela apparaît peu probable dans la mesure où, comme l’ont fait remarquer les C______, le véhicule fait l’objet d’un contrôle régulier et ne peut pas circuler s’il est endommagé. En tout état, c’est le geste de l’appelant qui a brisé le verre, rendu le véhicule inutilisable et la réparation nécessaire. Le verdict de culpabilité d’infraction à l’art. 144 CP sera confirmé. 2.6.2. L’appelant conteste aujourd’hui toute implication dans un trafic de stupéfiants. Il n’y a toutefois aucune raison de remettre en cause ses premières déclarations. Aucun des rapports d’expertise psychiatrique versés à la procédure ne pose de diagnostic de propos délirant. Si l’expertise pénale mentionne un épisode d’idées délirantes paranoïaques, celui-ci s’est produit en 2015 (C-115). Les experts commis en 2017 relèvent certes que, sous l’emprise de toxiques ou de stress, le trouble dont souffre l’appelant peut engendrer de façon spécifique l’apparition d’éléments délirants (C-101) ; ils mettent toutefois cet aspect en lien avec les dénégations de l’expertisé, qui leur avait déclaré, de façon incohérente, ne jamais avoir consommé de cocaïne et avoir cessé la consommation de cannabis, alors que le dossier médical démontrait le contraire. Les experts pénaux ne relèvent plus cet élément mais mettent en avant des difficultés de communication et dans les compétences sociales (C-118). Les propos que l’appelant a tenus lors de ses auditions à la police sont globalement cohérents et les policiers n’ont relevé aucune difficulté de compréhension ou d’expression. Les déclarations de l’appelant ne sont au surplus pas systématiquement contradictoires, étant relevé qu’il a souvent fait état d’une absence de souvenirs plutôt que de proférer des dénégations en bloc. Elles sont donc exploitables. C’est l’appelant qui a, spontanément, indiqué à la police, en octobre 2018, la cachette de son stock de haschich, située à plusieurs kilomètres du lieu de son interpellation et également éloignée de son domicile. La théorie des violences policières (qu’il ne semble plus soutenir dans son mémoire d’appel) ne repose sur rien, et les circonstances de ces découvertes, en trois lieux différents, attestent au contraire bien de l’implication de l’appelant dans la vente de haschich, rien ne justifiant notamment qu’il conserve 30 grammes de cette substance à des kilomètres de son domicile s’il s’agissait, comme soutenu dans le mémoire d’appel, de sa propre consommation. C’est à raison que le TP n’a pas retenu la quantité de dix kilos, même si elle a été articulée par l’appelant lui-même, les investigations menées par la police ne permettant pas de soutenir une telle ampleur. Cela étant, l’appelant a lui-même admis à deux reprises (4 octobre 2018 et 8 avril 2019) se livrer à la vente de haschich et de marijuana ; il est revenu sur une partie de ces déclarations mais a surtout ensuite prétendu ne plus s’en souvenir. H______ l’a formellement mis en cause ; s’il ne l’a plus fait en audience devant le premier juge, il n’est pas non plus revenu sur ses déclarations, mais a simplement expliqué ne pas s’en souvenir. Il a confirmé à cette occasion avoir dit la vérité à la police en 2018. L’appelant avait initialement admis ces faits, avant de se rétracter et de contester avoir connu l’âge de son client. A cet égard, aucun acte d’instruction n’a été mené ; lorsque l’appelant a initialement admis ces faits, ils n’ont pas été qualifiés sous l’angle de l’art. 19bis LStup et aucune mention n’a été faite de la minorité de l’intéressé, lequel n’a pas non plus évoqué cette question. Dans ces circonstances, il faut retenir que l’appelant se trouvait dans l’erreur. Contrairement à l’avis de doctrine exposé ci-dessus, cette erreur doit être considérée comme opérante et les faits doivent être qualifiés sous l’angle de l’art. 19 LStup, à l’exclusion de l’art. 19bis LStup. En effet, en l’absence de concours entre les art. 19 et 19bis LStup, l’erreur bénéficie à l’appelant puisque les faits sont constitutifs d’une seule infraction. D’autres éléments de la procédure viennent encore confirmer l’implication de l’appelant, notamment le message reçu de E______ ; le fait que celui-ci n’a pas pu être confronté à l’appelant ne change rien à l’existence et à la teneur particulièrement explicite de ce message et aux aveux initiaux du prévenu. Il ne sera en revanche pas tenu compte des mises en cause de G______ et F______, que le prévenu a toujours contestées : le premier est revenu sur ses dires et le second n’a jamais été confronté à l’appelant. Le verdict de culpabilité d’infraction à l’art. 19 al. 1 LStup est donc confirmé. L’ampleur exacte du trafic de l’appelant sera arrêtée à 150 grammes de haschich, incluant les quantités remises à H______ et E______ et les 30.4 grammes retrouvés en octobre 2018 et clairement destinés à la vente. La période pénale s’étend d’avril à octobre 2018. Il n’y a pas lieu d’acquitter l’appelant de l’infraction à l’art. 19bis LStup, les faits reprochés étant tenus pour avérés mais qualifiés différemment.</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 6B_335/2016 du 24 janvier 2017 consid. 3.3.5).</w:t>
      </w:r>
    </w:p>
    <w:p>
      <w:r>
        <w:rPr>
          <w:b/>
        </w:rPr>
        <w:t>E. 3.3</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w:t>
      </w:r>
    </w:p>
    <w:p>
      <w:r>
        <w:rPr>
          <w:b/>
        </w:rPr>
        <w:t>E. 3.4</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 93 IV 7 ; 116 IV 300 consid. 2c/dd ; 144 IV 217 consid. 3.5 ; arrêt du Tribunal fédéral 6B_1216/2017 du 11 juin 2018 consid. 1.1.1), en tenant là aussi compte de toutes les circonstances y relatives (arrêts du Tribunal fédéral 6B_1175/2017 du 11 avril 2018 consid. 2.1 ; 6B_688/2014 du 22 décembre 2017 consid. 27.2.1).</w:t>
      </w:r>
    </w:p>
    <w:p>
      <w:r>
        <w:rPr>
          <w:b/>
        </w:rPr>
        <w:t>E. 3.5</w:t>
      </w:r>
    </w:p>
    <w:p>
      <w:r>
        <w:t>Une mesure thérapeutique est incompatible avec le prononcé d'un sursis. En effet, la mesure doit être de nature à écarter un risque de récidive et, partant, suppose qu'un tel risque existe (cf. par ex. art. 59 al. 1 CP). A l'inverse, l'octroi du sursis suppose que le juge n'ait pas posé un pronostic défavorable et, partant, qu'il ait estimé qu'il n'y avait pas de risque de récidive. Cette incompatibilité s'applique également en cas de sursis partiel au sens de l'art. 43 CP (ATF 135 IV 180 consid. 2.3; 134 IV 1 consid. 3.1; arrêts du Tribunal fédéral 6B_94/2015 du 24 septembre 2015 consid. 1.1).</w:t>
      </w:r>
    </w:p>
    <w:p>
      <w:r>
        <w:rPr>
          <w:b/>
        </w:rPr>
        <w:t>E. 3.6</w:t>
      </w:r>
    </w:p>
    <w:p>
      <w:r>
        <w:t>.1. En l'espèce, la faute de l’appelant est moyenne. Il s'en est pris gratuitement à un véhicule des C______, le rendant inutilisable pour les passagers jusqu’à sa réparation. Il a par ailleurs vendu du haschich à divers jeunes de son entourage, vraisemblablement par appât du gain facile. Cela étant, la responsabilité restreinte de l’appelant diminue sa faute, qui doit ainsi être qualifiée de légère. Sa situation personnelle, et notamment sa pathologie, explique partiellement ses actes, sans les justifier. Il a bénéficié de plusieurs prises en charge, notamment dans divers foyers pendant son adolescence puis dans le cadre d’hospitalisations psychiatriques et par la mise en place d’une curatelle, qui n’ont toutefois pas permis à ce jour de stabiliser sa situation. Il faut néanmoins souligner à cet égard que les faits sont relativement anciens et ne semblent pas s’être reproduits. L’appelant ne fait montre d’aucune prise de conscience, allant jusqu’à nier, en appel, des faits qu’il avait pourtant admis jusque-là. Au vu de la situation personnelle de l’appelant, et de l’absence de toute prise de conscience, des motifs de prévention spéciale commandent le prononcé d’une peine privative de liberté, seule à même d’amener l’appelant à reconsidérer ses actes.</w:t>
      </w:r>
    </w:p>
    <w:p>
      <w:r>
        <w:rPr>
          <w:b/>
        </w:rPr>
        <w:t>E. 3.6.2</w:t>
      </w:r>
    </w:p>
    <w:p>
      <w:r>
        <w:t>Les deux infractions retenues sont passibles de la même sanction ; dans la mesure où les dommages à la propriété ne se poursuivent que sur plainte, l’infraction la plus grave est celle à l’art. 19 al. 1 LStup, qui emporte une peine de base de quatre mois, ramenée à trois mois pour tenir compte de la responsabilité restreinte de l’appelante. Cette peine sera portée à quatre mois pour tenir compte des dommages à la propriété. L’appel doit ainsi être partiellement admis et la peine privative de liberté ramenée à quatre mois.</w:t>
      </w:r>
    </w:p>
    <w:p>
      <w:r>
        <w:rPr>
          <w:b/>
        </w:rPr>
        <w:t>E. 3.6.3</w:t>
      </w:r>
    </w:p>
    <w:p>
      <w:r>
        <w:t>L’appelant sera astreint à une mesure (cf. ci-après consid. 4), ce qui fait obstacle au bénéfice du sursis.</w:t>
      </w:r>
    </w:p>
    <w:p>
      <w:r>
        <w:rPr>
          <w:b/>
        </w:rPr>
        <w:t>E. 4</w:t>
      </w:r>
    </w:p>
    <w:p>
      <w:r>
        <w:t>4.1.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Selon l'art. 56 al. 2 CP, l'atteinte aux droits de la personnalité qui résulte pour l'auteur du prononcé de la mesure ne doit pas être disproportionnée au regard de la vraisemblance qu'il commette de nouvelles infractions et de leur gravité.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L'art. 56a CP rappelle que si plusieurs mesures s'avèrent appropriées, mais qu'une seule est nécessaire, le juge ordonne celle qui porte à l'auteur les atteintes les moins graves (arrêts du Tribunal fédéral 6B_950/2009 du 10 mars 2010 consid. 4 ; 6B_457/2007 du 12 novembre 2007 consid. 5.2 ; cf. déjà ATF 118 IV 108 consid. 2a p. 113).</w:t>
      </w:r>
    </w:p>
    <w:p>
      <w:r>
        <w:rPr>
          <w:b/>
        </w:rPr>
        <w:t>E. 4.2</w:t>
      </w:r>
    </w:p>
    <w:p>
      <w:r>
        <w:t>Pour ordonner une des mesures prévues aux articles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À cet égard, les rapports de thérapeutes ne suffisent pas (ATF 134 IV 246 consid. 4.3). L'expert se détermine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(ATF 118 Ia 144 consid. 1c p. 145 ss ; arrêts du Tribunal fédéral 6B_1160/2017 du 17 avril 2018 consid. 2.1 ; 6B_1348/2017 du 22 janvier 2018 consid. 1.1.3 ; 6B_1297/2015 du 22 mars 2017 consid. 3.1 ; 6B_346/2016 du 31 janvier 2017 consid. 3.2 ; 6B_513/2015 du 4 février 2016 consid. 3.4 non publié in ATF 142 IV 56 ).</w:t>
      </w:r>
    </w:p>
    <w:p>
      <w:r>
        <w:rPr>
          <w:b/>
        </w:rPr>
        <w:t>E. 4.3</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La durée des mesures dépend des besoins de traitement de l'intéressé et des perspectives de succès de la mesure (cf. art. 56 al. 1 let. b CP). La mesure est ordonnée sans égard au type et à la durée de la peine prononcée. Sont déterminants l'état des facultés mentales de l'auteur ainsi que l'impact de la mesure sur le risque de commission d'autres infractions.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w:t>
      </w:r>
    </w:p>
    <w:p>
      <w:r>
        <w:rPr>
          <w:b/>
        </w:rPr>
        <w:t>E. 4.4</w:t>
      </w:r>
    </w:p>
    <w:p>
      <w:r>
        <w:t>En l'espèce, il ressort clairement de l'expertise que l’appelant présente une pathologie en lien avec les infractions commises et nécessitant des soins et une prise en charge adéquate. Il n’y a pas de raison de s’écarter à cet égard de l’expertise ; si celle-ci a été établie voici plus de quatre ans, la Cour ne peut que constater que la situation de l’appelant n’a pas évolué. Quand bien même il a affirmé vouloir acquérir une formation, il demeure aujourd’hui oisif et au bénéfice de prestations d’assistance. Son hospitalisation pour une longue durée à la Clinique de L______, en cours de la procédure d’appel, dont les causes ne sont pas connues, tend néanmoins à confirmer qu’une mesure thérapeutique demeure nécessaire. La prise en charge en foyer adapté préconisée par les experts ne ressort pas des mesures prévues aux art. 56 et suivants CP. Néanmoins, un traitement ambulatoire au sens de l’art. 63 CP est de nature à faciliter, à terme, une prise de conscience de l’appelant et, dans le contexte de la mesure de curatelle civile, une évolution vers une telle prise en charge plus complète. La mesure de curatelle ne suffit toutefois pas à garantir la prise en charge thérapeutique nécessaire pour prévenir le risque de récidive. Celle-ci sera dès lors ordonnée sous forme d’un traitement ambulatoire au sens de l’art. 63 CP. Enfin, l’exécution de la peine privative de liberté sera suspendue au profit de la mesure de traitement ambulatoire. Au vu de l’absence de faits récents, et quand bien même les experts ont indiqué que la prise en charge était compatible avec l’exécution d’une peine privative de liberté, l’exécution de celle-ci apparaît contraire au but recherché de la mesure. La Cour de céans ne peut en tout état pas revenir sur la suspension accordée par le premier juge (art. 391 al. 2 CPP).</w:t>
      </w:r>
    </w:p>
    <w:p>
      <w:r>
        <w:rPr>
          <w:b/>
        </w:rPr>
        <w:t>E. 5</w:t>
      </w:r>
    </w:p>
    <w:p>
      <w:r>
        <w:t>5.1. Le tribunal statue également sur les conclusions civiles présentées lorsqu'il condamne le prévenu (art. 126 al. 1 let. a CPP).</w:t>
      </w:r>
    </w:p>
    <w:p>
      <w:r>
        <w:rPr>
          <w:b/>
        </w:rPr>
        <w:t>E. 5.2</w:t>
      </w:r>
    </w:p>
    <w:p>
      <w:r>
        <w:t>Selon l'art. 41 al. 1 CO, celui qui cause, d'une manière illicite, un dommage à autrui, soit intentionnellement, soit par négligence ou imprudence, est tenu de le réparer. La responsabilité délictuelle instituée à l'art. 41 CO requiert que soient réalisées cumulativement quatre conditions, soit un acte illicite ou contraire aux mœurs, une faute de l'auteur, un dommage et un rapport de causalité naturelle et adéquate entre l'acte fautif et le dommage. La preuve du dommage incombe au demandeur (art. 42 al. 1 CO ; ATF 132 III 122 consid. 4.1 ; arrêt du Tribunal fédéral 6B_986/2008 du 20 avril 2009 consid. 4.2).</w:t>
      </w:r>
    </w:p>
    <w:p>
      <w:r>
        <w:rPr>
          <w:b/>
        </w:rPr>
        <w:t>E. 5.3</w:t>
      </w:r>
    </w:p>
    <w:p>
      <w:r>
        <w:t>Vu la condamnation de l'appelant, il sera fait droit aux conclusions civiles des C______, dont le dommage a été démontré par les factures produites. L’appelant n’en conteste d’ailleurs pas le montant, au-delà de l’acquittement plaidé.</w:t>
      </w:r>
    </w:p>
    <w:p>
      <w:r>
        <w:rPr>
          <w:b/>
        </w:rPr>
        <w:t>E. 6</w:t>
      </w:r>
    </w:p>
    <w:p>
      <w:r>
        <w:t>L'appelant, qui obtient partiellement gain de cause, supportera la moitié des frais de la procédure d’appel envers l'État (art. 428 CPP). L’émolument complémentaire de jugement suivra cette proportion ; il n’y a en revanche pas lieu de revoir la répartition des frais de la procédure de première instance, la requalification des faits ne modifiant pas le principe de la culpabilité.</w:t>
      </w:r>
    </w:p>
    <w:p>
      <w:r>
        <w:rPr>
          <w:b/>
        </w:rPr>
        <w:t>E. 7.1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En l'occurrence, la défenseure d’office de l’appelant n’a produit aucune note de frais. L’écriture de 22 pages déposée à l’appui de l’appel comporte des conclusions allant au-delà de l’appel initial, et des considérations superflues à ce stade (par exemple : compétence ratione loci, respect du délai d’appel). Tout bien pesé, la rédaction de cette écriture, dans une procédure connue pour avoir été plaidée peu auparavant devant le TP, nécessitait vraisemblablement quatre heures d’activité. La Cour ajoutera à cette durée deux heures d’entretien avec le mandant, dans la mesure où l’hospitalisation de celui-ci et l’annulation des débats a vraisemblablement nécessité plus qu’une rencontre. Puisque c’est la Cour qui a informé l’avocate de cette hospitalisation, à quelques jours de l’audience convoquée, aucune préparation pour celle-ci ne sera en revanche prise en compte, la défenseure n’ayant vraisemblablement pas encore repris l’étude du dossier à cette date. En conclusion, la rémunération sera arrêtée à CHF 1'556.65 correspondant à six heures d'activité au tarif de CHF 200.-/heure plus la majoration forfaitaire de 20% et l'équivalent de la TVA au taux de 8.1% en CHF 116.65.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