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P/1861/2025 vom 27. Januar 2025</w:t>
      </w:r>
    </w:p>
    <w:p>
      <w:r>
        <w:t>GE Cour de justice, 2025-01-27, FR</w:t>
      </w:r>
    </w:p>
    <w:p>
      <w:r>
        <w:rPr>
          <w:b/>
        </w:rPr>
        <w:t xml:space="preserve">Quelle: </w:t>
      </w:r>
      <w:r>
        <w:t>https://mcp.opencaselaw.ch/entscheid/ge_gerichte_P_1861_2025</w:t>
      </w:r>
    </w:p>
    <w:p>
      <w:r>
        <w:t>FR: GE_GERICHTE P/1861/2025 du 27 janvier 2025</w:t>
      </w:r>
    </w:p>
    <w:p>
      <w:r>
        <w:t>IT: GE_GERICHTE P/1861/2025 del 27 gennaio 2025</w:t>
      </w:r>
    </w:p>
    <w:p>
      <w:pPr>
        <w:pStyle w:val="Heading2"/>
      </w:pPr>
      <w:r>
        <w:t>Regeste</w:t>
      </w:r>
    </w:p>
    <w:p>
      <w:r>
        <w:t>VOL(DROIT PÉNAL);APPROPRIATION ILLÉGITIME;ORDONNANCE DE NON-ENTRÉE EN MATIÈRE;DÉLAI;ESCROQUERIE | CPP.310.al1.letb; CPP.310.al1.leta; CP.139; CP.146; CP.138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Tel n'est pas le cas de l'écriture subséquente du 17 mars 2025, en tant qu'elle vise à compléter le recours. La motivation d'un acte de recours doit en effet être entièrement contenue dans l'acte de recours lui-même et ne peut être complétée ou corrigée ultérieurement (arrêt du Tribunal fédéral 1B_183/2012 du 20 novembre 2012 consid. 2).</w:t>
      </w:r>
    </w:p>
    <w:p>
      <w:r>
        <w:rPr>
          <w:b/>
        </w:rPr>
        <w:t>E. 1.3</w:t>
      </w:r>
    </w:p>
    <w:p>
      <w:r>
        <w:t>En revanche, les pièces nouvelles produites le 17 mars 2025 sont recevables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 sens de l'art. 310 al. 1 let. b CPP, une ordonnance de non-entrée en matière doit être rendue lorsqu'il existe un empêchement de procéder, par exemple lorsque le délai pour déposer plainte prévu par l'art. 31 CP n'a pas été respecté (arrêt du Tribunal fédéral 6B_848/2018 du 4 décembre 2018 consid. 1.5).</w:t>
      </w:r>
    </w:p>
    <w:p>
      <w:r>
        <w:rPr>
          <w:b/>
        </w:rPr>
        <w:t>E. 3.2</w:t>
      </w:r>
    </w:p>
    <w:p>
      <w:r>
        <w:t>Aux termes de l'art. 31 CP, le droit de porter plainte se prescrit par trois mois. Le délai court dès le jour où l'ayant droit a connaissance de l'acte délictueux – soit les éléments constitutifs objectifs et subjectifs de l'infraction (ATF 126 IV 131 consid. 2; arrêt du Tribunal fédéral 7B_385/2023 du 24 mai 2024 consid. 3.1) – et de l'auteur de celui-ci (ATF 130 IV 97 consid. 2).</w:t>
      </w:r>
    </w:p>
    <w:p>
      <w:r>
        <w:rPr>
          <w:b/>
        </w:rPr>
        <w:t>E. 3.3</w:t>
      </w:r>
    </w:p>
    <w:p>
      <w:r>
        <w:t>L’art. 144 al. 1 CP réprime, sur plainte, le comportement de quiconque, sans droit, endommage, détruit ou met hors d'usage une chose appartenant à autrui.</w:t>
      </w:r>
    </w:p>
    <w:p>
      <w:r>
        <w:rPr>
          <w:b/>
        </w:rPr>
        <w:t>E. 3.4</w:t>
      </w:r>
    </w:p>
    <w:p>
      <w:r>
        <w:t>En l'espèce, le recourant fait grief au mis en cause d'avoir endommagé la vitre arrière gauche de son véhicule lors du transport de celui-ci par fret maritime jusqu'au Togo. Il indique avoir constaté ledit dommage par le biais d'une vidéo WhatsApp envoyée par le mis en cause le 13 septembre 2024. Partant, la plainte déposée le 18 décembre 2024, en raison de ces faits, est tardive et il existait donc un empêchement de procéder permettant de prononcer une non-entrée en matière en lien avec ce chef d'infraction.</w:t>
      </w:r>
    </w:p>
    <w:p>
      <w:r>
        <w:rPr>
          <w:b/>
        </w:rPr>
        <w:t>E. 4.1</w:t>
      </w:r>
    </w:p>
    <w:p>
      <w:r>
        <w:t>À teneur de l'art. 310 al. 1 let. a CPP, le ministère public rend également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w:t>
      </w:r>
    </w:p>
    <w:p>
      <w:r>
        <w:rPr>
          <w:b/>
        </w:rPr>
        <w:t>E. 4.2</w:t>
      </w:r>
    </w:p>
    <w:p>
      <w:r>
        <w:t>Une non-entrée en matière s'impose lorsque le litige est de nature purement civile (ATF 137 IV 285 consid. 2.3).</w:t>
      </w:r>
    </w:p>
    <w:p>
      <w:r>
        <w:rPr>
          <w:b/>
        </w:rPr>
        <w:t>E. 4.3</w:t>
      </w:r>
    </w:p>
    <w:p>
      <w:r>
        <w:t>L'art. 146 al. 1 CP poursuit, du chef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4.3.1</w:t>
      </w:r>
    </w:p>
    <w:p>
      <w:r>
        <w:t>Une tromperie astucieuse, au sens de cette disposition, est établie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w:t>
      </w:r>
    </w:p>
    <w:p>
      <w:r>
        <w:rPr>
          <w:b/>
        </w:rPr>
        <w:t>E. 4.3.2</w:t>
      </w:r>
    </w:p>
    <w:p>
      <w:r>
        <w:t>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(ATF 142 IV 153 consid. 2.2.2; arrêt du Tribunal fédéral 6B_645/2021 du 28 avril 2022 consid. 3.1).</w:t>
      </w:r>
    </w:p>
    <w:p>
      <w:r>
        <w:rPr>
          <w:b/>
        </w:rPr>
        <w:t>E. 4.4</w:t>
      </w:r>
    </w:p>
    <w:p>
      <w:r>
        <w:t>L'art. 138 ch. 1 al. 1 CP réprime, du chef d'abus de confiance, quiconque, pour se procurer ou procurer à un tiers un enrichissement illégitime, s'approprie une chose mobilière appartenant à autrui et qui lui a été confiée.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arrêt du Tribunal fédéral 6B_1268/2018 du 15 février 2019 consid. 2.2). L'art. 139 ch. 1 CP punit, du chef de vol, quiconque, pour se procurer ou procurer à un tiers un enrichissement illégitime, soustrait une chose mobilière appartenant à autrui dans le but de se l'approprier.</w:t>
      </w:r>
    </w:p>
    <w:p>
      <w:r>
        <w:rPr>
          <w:b/>
        </w:rPr>
        <w:t>E. 4.5</w:t>
      </w:r>
    </w:p>
    <w:p>
      <w:r>
        <w:t>En l'espèce, le recourant fait grief au mis en cause de l'avoir escroqué. Il sied ainsi de se demander si le recourant a été astucieusement trompé par son cocontractant. Or, on constate qu'il a accepté que le mis en cause, qu'il ne connaissait pas, livre à l'étranger un stock conséquent de matériel lui appartenant, sans procéder à la moindre vérification sur son identité, qu'il ignorait même. Au surplus, aucun document écrit n'a été établi, tels qu'un contrat ou une liste des biens transportés. Ces précautions élémentaires pouvaient difficilement échapper au recourant qui allègue avoir déjà lui-même réalisé de tels transports de marchandises. Par ailleurs, le mis en cause a accepté que le recourant règle le montant dû par acomptes, puis l'a autorisé à venir récupérer son véhicule ainsi que la marchandise, bien que la totalité de la somme n'eût pas été versée. Il semble en outre s'être acquitté des frais de dédouanement du véhicule, alors même que le plaignant reconnaît que ceux-ci lui incombaient. On peine ainsi à voir dans le comportement du mis en cause une volonté délibérée de s'affranchir d'emblée de ses obligations. Faute d'astuce, c'est dès lors à bon droit que le Ministère public a considéré que les conditions de l'infraction d'escroquerie n'étaient pas réalisées. Le recourant reproche également au mis en cause d'avoir abusé de sa confiance. Toutefois, on ne peut retenir, en l'état, à l'encontre du mis en cause, la réalisation d'un acte d'appropriation. En effet, le recourant ne rend pas vraisemblable, que le mis en cause aurait incorporé économiquement à son propre patrimoine – de quelque façon que ce soit – les biens se trouvant dans le véhicule. Au contraire, il apparaît qu'à l'arrivée du conteneur au port de E______, le mis en cause aurait seulement attendu d'être payé avant d'autoriser le plaignant à venir y récupérer son véhicule ainsi que la marchandise, où ceux-ci demeuraient immobilisés. Le recourant allègue finalement que le mis en cause lui aurait volé certains biens mais aucun élément objectif au dossier ne permet de corroborer ses dires. Aucune liste n’ayant été établie, il ne paraît pas possible de déterminer quels biens se trouvaient dans le véhicule au moment de son départ. Les photographies produites par le recourant ne permettent pas davantage de l'établir, dans la mesure où elles ne font que montrer certains biens qui auraient disparu. En outre, le mis en cause conteste tout vol de sa part, indiquant même qu'aucun des articles figurant sur la liste des effets manquants ne se trouvait, à un moment donné, dans le véhicule. Le transport de celui-ci jusqu'au Togo ayant duré plus d'un mois, il ne peut également être exclu que l'éventuelle disparition des objets, pour autant qu'elle ait eu lieu, ait été commise par un tiers, respectivement se soit déroulée au Togo, excluant de la sorte la compétence des autorités suisses (art. 7 al. 1 let. a à c CP cum art. 35 al. 1 let. a EIMP cum art. 98 du Code pénal togolais). Partant, on ne peut retenir une prévention pénale suffisante d'escroquerie, d'abus de confiance ou de vol à l'encontre du mis en cause. Aucun acte d'instruction n'est susceptible de modifier cette appréciation, la traduction de messages entre les parties n'étant pas de nature à apporter des éléments probants supplémentaires. Au vu de ce qui précède, c'est donc à juste titre que le Ministère public a refusé d'entrer en matière sur la plainte de A______. Finalement, à l'instar du Ministère public, il sera relevé que les questions relatives au contrat conclu entre les parties et aux prétendues violations des obligations contractuelles du mis en cause relèvent des juridictions civiles. La confirmation de l'ordonnance querellée s'impose ainsi pour ce motif également.</w:t>
      </w:r>
    </w:p>
    <w:p>
      <w:r>
        <w:rPr>
          <w:b/>
        </w:rPr>
        <w:t>E. 5</w:t>
      </w:r>
    </w:p>
    <w:p>
      <w:r>
        <w:t>Infondé, le recours sera donc rejeté.</w:t>
      </w:r>
    </w:p>
    <w:p>
      <w:r>
        <w:rPr>
          <w:b/>
        </w:rPr>
        <w:t>E. 6</w:t>
      </w:r>
    </w:p>
    <w:p>
      <w:r>
        <w:t>Le recourant, qui succombe, supportera les frais envers l'État, fixés en totalité à CHF 900.-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