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P/18572/2017 vom 11. März 2020</w:t>
      </w:r>
    </w:p>
    <w:p>
      <w:r>
        <w:t>GE Cour de justice, 2020-03-11, FR</w:t>
      </w:r>
    </w:p>
    <w:p>
      <w:r>
        <w:rPr>
          <w:b/>
        </w:rPr>
        <w:t xml:space="preserve">Quelle: </w:t>
      </w:r>
      <w:r>
        <w:t>https://mcp.opencaselaw.ch/entscheid/ge_gerichte_P_18572_2017</w:t>
      </w:r>
    </w:p>
    <w:p>
      <w:r>
        <w:t>FR: GE_GERICHTE P/18572/2017 du 11 mars 2020</w:t>
      </w:r>
    </w:p>
    <w:p>
      <w:r>
        <w:t>IT: GE_GERICHTE P/18572/2017 del 11 marzo 2020</w:t>
      </w:r>
    </w:p>
    <w:p>
      <w:pPr>
        <w:pStyle w:val="Heading2"/>
      </w:pPr>
      <w:r>
        <w:t>Regeste</w:t>
      </w:r>
    </w:p>
    <w:p>
      <w:r>
        <w:t>IN DUBIO PRO REO;ENCOURAGEMENT(EN GÉNÉRAL);SÉJOUR ILLÉGAL;LEX MITIOR;FIXATION DE LA PEINE;SURSIS À L'EXÉCUTION DE LA PEINE;CONCOURS D'INFRACTIONS;AMENDE | LCR.98.al1.lete; LGI.116.al2; LGI.117.al3; LEI.91.al1; CP.2; CP.47; CP.106; CP.42.al1; CP.45.al1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l'appelant n'a pas prouvé son innocence (ATF 127 I 38 consid. 2a p. 40) ou encore lorsque le juge condamne l'appelant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2.1.2.1. Aux termes de l'art. 116 al. 1 let. a LEI, est puni d'une peine privative de liberté d'un an au plus ou d'une peine pécuniaire quiconque en Suisse ou à l'étranger, facilite l'entrée, la sortie ou le séjour illégal d'un étranger ou participe à des préparatifs dans ce but. 2.1.2.2.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(cf. ATF 130 IV 77 consid. 2.3.2 p. 80 concernant l'ancien art. 23 LSEE ; arrêt du Tribunal fédéral 6B_128/2009 du 17 juillet 2009 consid. 2.2). En règle générale, il est admis que celui qui héberge une personne séjournant illégalement en Suisse facilite le séjour illégal de celle-ci, qu'il agisse en tant qu'hôtelier, bailleur ou employeur qui loue une chambre (ATF 118 IV 262 consid. 3a p. 264/265 ; 112 IV 121 consid. 1 p. 122).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(arrêts du Tribunal fédéral 6B_426/2014 du 18 septembre 2014 consid. 4 et 6B_128/2009 du 17 juillet 2009 consid. 2.2). 2.1.2.3. À défaut de mention expresse de la négligence, l'incitation au séjour illégal, qui constitue un délit, ne peut être commise qu'intentionnellement ; le dol éventuel suffit (arrêt du Tribunal fédéral 6B_128/2009 du 17 juillet 2009 consid. 2.2). Il y a dol éventuel lorsque l'auteur, qui ne veut pas le résultat dommageable pour lui-même, envisage le résultat de son acte comme possible et l'accepte au cas où il se produirait (ATF 137 IV 1 consid. 4.2.3 p. 4 ; ATF 133 IV 9 = JdT 2007 I 573 consid. 4.1 p. 579 ; ATF 131 IV 1 consid. 2.2 p. 4 s. ; ATF 130 IV 58 consid. 8.2 p. 61).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ATF 133 IV 222 consid. 5.3 p. 226 ; arrêt du Tribunal fédéral 6B_670/2018 du 10 septembre 2018 consid. 2.3). 2.1.2.4. Selon l'art. 116 al. 2 LEI, dans les cas de peu de gravité, la peine peut consister en une simple amende. 2.1.3.1. 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Si l'auteur agit par négligence, il est puni d'une amende de CHF 20'000.- au plus (art. 117 al. 3 LEI). 2.1.3.2. Selon l'art. 91 al. 1 LEI, avant d'engager un étranger, l'employeur doit s'assurer qu'il est autorisé à exercer une activité lucrative en Suisse en examinant son titre de séjour ou en se renseignant auprès des autorités compétentes. La simple omission de procéder à l'examen du titre de séjour ou de se renseigner auprès des autorités compétentes constitue déjà une violation du devoir de diligence (arrêts du Tribunal fédéral 2C_197/2014 du 12 février 2015 consid. 2.1, 2C_783/2012 du 10 octobre 2012 consid. 2.1 et 2C_357/2009 du 16 novembre 2009 consid. 5.1 et 5.3). L'appelant a ainsi varié dans ses déclarations au cours de la procédure. La CPAR retient néanmoins qu'il connaissait le statut de C______ au moment de l'engager et de lui sous-louer un appartement. 2.2.1. En l'espèce, il est tout d'abord établi que l'appelant a, entre le 16 décembre 2015 et le 30 novembre 2016, remis en sous-location un appartement à C______. Il est aussi démontré que durant cette période, C______ n'était pas au bénéfice d'une autorisation de séjour ni ne disposait d'une attestation de l'OCPM dont on aurait pu déduire que sa présence était tolérée en Suisse. L'appelant avait été informé par la régie, avant la conclusion du contrat de bail, que C______ ne pouvait pas louer un appartement à son nom, faute de pouvoir démontrer son droit de séjourner en Suisse. C'était d'ailleurs précisément pour cette raison qu'il avait décidé de mettre le bail à son nom. Par ailleurs, déjà au début du mois de juin 2015, l'appelant savait, de son propre aveu, que C______ n'était pas au bénéfice d'une autorisation de séjour. Au moment de la sous-location de l'appartement, d'une part, la situation était objectivement inchangée et, d'autre part, n'ayant pas reçu de réponse de la part de l'OCPM sur la demande d'autorisation de séjour formulée par cette dernière le 13 juin 2015, l'appelant, ne pouvait pas partir de l'idée que C______ avait le droit de séjourner en Suisse, étant précisé qu'il n'a effectué aucune vérification à ce sujet avant de lui sous-louer le logement. Compte tenu de ces éléments, l'appelant a agi en toute connaissance de cause ou a, à tout le moins, envisagé, et accepté, qu'il était susceptible de faciliter le séjour en Suisse d'un étranger ne disposant pas d'une autorisation en ce sens. L'appelant s'est ainsi rendu coupable d'infraction à l'art. 116 al. 1 let. a LEI. Le premier juge a estimé que le cas était de peu de gravité et a fait application de l'art. 116 al. 2 LEI. Cette appréciation est donc acquise à l'appelant (art. 404 al. 1 et al. 2 CPP). Sa condamnation pour infraction à l'art. 116 al. 2 LEI sera ainsi confirmée. 2.2.2 . Concernant l'emploi de C______, il est établi qu'elle n'avait pas le droit de travailler en Suisse durant la période concernée. Au moment de l'engager, l'appelant avait connaissance de ette situation ce qu'l a expressément reconnu lors de première audition à la police à l'occasion de laquelle il était assisté d'un avocat. L'appelant est par la suite revenu sur cet aveu. En toute hypothèse, même s'il fallait retenir la version la plus favorable pour l'appelant, cela ne changerait pas l'issue de la cause étant donné qu'il n'a personnellement fait aucune démarche auprès de l'OCPM pour s'enquérir de la situation administrative de C______ avant de l'engager, étant rappelé que cette dernière a déposé une demande d'autorisation de séjour près de 15 jours après le début de son activité pour le compte de l'appelant. L'appelant ne pouvait pas se réfugier derrière les dires de C______ ou de tel ou tel conseil. Il lui appartenait, comme à tout employeur, de procéder au contrôle, la simple omission de se renseigner auprès de l'OCPM étant constitutive d'une violation du devoir de diligence. C'est ainsi à bon droit que le TP a jugé que l'appelant ne pouvait s'exonérer de l'obligation de diligence prévenu à l'art. 91 LEI. Il découle de ce qui précède que l'appelant s'est rendu coupable d'infraction à l'art. 117 al. 1 LEI. Le premier juge a estimé que l'appelant a agi par négligence et a fait application de l'art. 117 al. 3 LEI. Cette appréciation est également acquise à l'appelant (art. 391 al. 2 CPP). Sa condamnation pour infraction à l'art. 117 al. 3 LEI sera ainsi confirmée.</w:t>
      </w:r>
    </w:p>
    <w:p>
      <w:r>
        <w:rPr>
          <w:b/>
        </w:rPr>
        <w:t>E. 3</w:t>
      </w:r>
    </w:p>
    <w:p>
      <w:r>
        <w:t>3.1. Les faits reprochés au prévenu se sont déroulés avant le 1 er janvier 2018, date de l'entrée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En l'espèce, le code pénal en vigueur actuellement sera appliqué, celui-ci étant plus favorable, la peine pécuniaire étant limitée à 180 jours.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3.5</w:t>
      </w:r>
    </w:p>
    <w:p>
      <w:r>
        <w:t>En l'espèce, la faute de l'appelant n'est pas négligeable. Alors même qu'il est entrepreneur, il a fait, à tout le moins, preuve de légèreté et d'un manque de diligence en lien avec les impératifs fixés par la LEI. L'appelant était tenu de se renseigner, personnellement et directement auprès de l'OCPM avant d'engager C______ et de lui sous-louer un appartement. Il ne pouvait pas simplement se réfugier derrière les dires de tiers, ceci indépendamment de ses motivations. Par ailleurs, le délai de traitement de l'administration, certes regrettable, ne change rien à l'appréciation juridique. Sa collaboration à la procédure et sa prise de conscience sont sans particularité. Il sera toutefois relevé qu'il a, à réitérées reprises, cherché à minimiser sa responsabilité et à se victimiser. Le prévenu n'a pas d'antécédent, facteur neutre dans le cadre de la fixation de la peine (ATF 136 IV 1 consid. 2.6.4.). Ces éléments conduisent à confirmer l'amende prononcée par le TP, laquelle est adéquate pour sanctionner les agissements de l'appelant compte tenu de sa situation personnelle et financière actuelle, étant précisé qu'il en sera de même de la peine pécuniaire avec sursis, celle-ci n'étant pas remise en question.</w:t>
      </w:r>
    </w:p>
    <w:p>
      <w:r>
        <w:rPr>
          <w:b/>
        </w:rPr>
        <w:t>E. 4</w:t>
      </w:r>
    </w:p>
    <w:p>
      <w:r>
        <w:t>L'appelant,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