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P/18563/2020 vom 19. November 2020</w:t>
      </w:r>
    </w:p>
    <w:p>
      <w:r>
        <w:t>GE Cour de justice, 2020-11-19, FR</w:t>
      </w:r>
    </w:p>
    <w:p>
      <w:r>
        <w:rPr>
          <w:b/>
        </w:rPr>
        <w:t xml:space="preserve">Quelle: </w:t>
      </w:r>
      <w:r>
        <w:t>https://mcp.opencaselaw.ch/entscheid/ge_gerichte_P_18563_2020</w:t>
      </w:r>
    </w:p>
    <w:p>
      <w:r>
        <w:t>FR: GE_GERICHTE P/18563/2020 du 19 novembre 2020</w:t>
      </w:r>
    </w:p>
    <w:p>
      <w:r>
        <w:t>IT: GE_GERICHTE P/18563/2020 del 19 novembre 2020</w:t>
      </w:r>
    </w:p>
    <w:p>
      <w:pPr>
        <w:pStyle w:val="Heading2"/>
      </w:pPr>
      <w:r>
        <w:t>Regeste</w:t>
      </w:r>
    </w:p>
    <w:p>
      <w:r>
        <w:t>DÉTENTION PROVISOIRE;RISQUE DE FUITE;RISQUE DE RÉCIDIVE;ÉPIDÉMIE;VIRUS(MALADIE);ÉTAT DE SANTÉ;PROPORTIONNALITÉ | CPP.221; CPP.3; CP.92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a reconnu les faits, ne discute pas les charges, de sorte qu'il n'y a pas lieu de s'y attarder.</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En l'espèce, le recourant est de nationalité espagnole, domicilié en Espagne, et sans aucune attache avec la Suisse. Les buts de sa venue en Suisse - être présenté à un magistrat et être vu par des médecins - ont été atteints, de sorte qu'en cas de libération, tout indique qu'il retournera dans son pays. Il l'admet du reste lui-même, en affirmant vouloir, à sa sortie de détention, rentrer en Espagne pour s'y faire soigner. Le risque de fuite est donc patent. Le recourant prétend toutefois qu'un tel départ de Suisse n'équivaut pas à une fuite dès lors qu'il s'engage à déférer à toute convocation judiciaire pour autant que son état de santé le permette. Cet engagement, qui constitue selon lui une mesure de substitution adéquate à la détention (art. 237 al. 1 CPP), n'est à l'évidence pas suffisant et très aléatoire, compte tenu de la pathologie dont il souffre et du traitement chimiothérapeutique qu'il devrait subir. Il est donc sérieusement à craindre que le recourant, s'il est libéré et retourne chez lui en Espagne, ne se présente ni aux actes d'instruction requérant sa présence ni à l'audience de jugement, échappant ainsi à toute éventuelle sanction ou mesure.</w:t>
      </w:r>
    </w:p>
    <w:p>
      <w:r>
        <w:rPr>
          <w:b/>
        </w:rPr>
        <w:t>E. 4</w:t>
      </w:r>
    </w:p>
    <w:p>
      <w:r>
        <w:t>Le recourant conteste également le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 "Verbrechen oder schwere Vergehen" ,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l'occurrence, si le recourant affirme avoir bouté le feu à son véhicule pour attirer l'attention - ce que ni son âge ni son état de santé ne l'ont dissuadé de faire -, cette démarche singulière ne permet pas d'exclure qu'en cas de libération à ce stade de l'enquête, il ne commette d'autres infractions graves mettant en danger la sécurité publique pour à nouveau exiger une écoute de la part des autorités, voire revendiquer d'autres prestations. L'absence d'infractions de même type à son casier judiciaire suisse n'est donc pas déterminante. Seule l'expertise psychiatrique ordonnée permettra ainsi d'établir si l'intéressé souffre d'une quelconque pathologie mentale et s'il représente un danger pour la société. Le délai de deux mois fixé par le Ministère public aux experts pour la reddition de leur rapport apparaît raisonnable, celui-ci devant intervenir au début janvier 2021, de sorte qu'on ne voit pas la nécessité de leur enjoindre de délivrer un rapport intermédiaire avant cette date. Cette nécessité s'impose d'autant moins que, quand bien même on suivrait le recourant lorsqu'il affirme ne pas être pyromane, il ressort du dossier qu'il consomme régulièrement de l'héroïne. Or, cet élément à lui seul peut faire craindre une récidive en matière d'infraction à la LStup, voire à des infractions au patrimoine - le prévenu ayant déjà été condamné pour consommation de stupéfiants, recel et vol en 2018 -, eu égard à son absence de ressources en Suisse. On ne voit en l'état pas quelle mesure de substitution permettrait de pallier ce risque de réitération et le recourant n'en propose pas.</w:t>
      </w:r>
    </w:p>
    <w:p>
      <w:r>
        <w:rPr>
          <w:b/>
        </w:rPr>
        <w:t>E. 5</w:t>
      </w:r>
    </w:p>
    <w:p>
      <w:r>
        <w:t>Le recourant fonde également sa demande de mise en liberté sur des motifs sanitaires. Il estime en effet que son état de santé, l'inadéquation de la prison de B______ (GE) compte tenu de son état et la présence de nouveaux cas covid-19 au sein de l'établissement commandaient sa libération.</w:t>
      </w:r>
    </w:p>
    <w:p>
      <w:r>
        <w:rPr>
          <w:b/>
        </w:rPr>
        <w:t>E. 5.1</w:t>
      </w:r>
    </w:p>
    <w:p>
      <w:r>
        <w:t>Selon l'art. 3 al. 1 CPP, les autorités pénales respectent la dignité des personnes impliquées dans la procédure, à tous les stades de celle-ci. 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(art. 197 al. 1 let. d CPP; art. 10 Cst.). Ainsi, dans chaque cas d'espèce, une balance des intérêts doit être effectuée en tenant compte notamment du but de la détention avant jugement, de la gravité de l'atteinte à la santé et des possibilités de traitements médicaux dans l'établissement pénitentiaire (ATF 116 Ia 420 consid. 3a p. 423 et 3e p. 425; arrêts 1B_378/2013 du 14 novembre 2013 consid. 3.3; 1B_149/2011 du 4 mai 2011 consid. 5.1 non publié aux ATF 137 IV 186 ). Selon la jurisprudence développée en lien avec l'éventuelle interruption de l'exécution d'une condamnation (art. 92 CP) - applicable par analogie, voire même de manière plus étendue, dans les cas de détention avant jugement (ATF 108 Ia 69 consid. 3 p. 73; arrêt 1B_149/2011 du 4 mai 2011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p. 102; pour des exemples, voir arrêt 1B_149/2011 précité, consid. 5.1).</w:t>
      </w:r>
    </w:p>
    <w:p>
      <w:r>
        <w:rPr>
          <w:b/>
        </w:rPr>
        <w:t>E. 5.2</w:t>
      </w:r>
    </w:p>
    <w:p>
      <w:r>
        <w:t>Comme déjà jugé à maintes reprises par la Chambre de céans, la situation sanitaire actuelle n'est pas, à elle seule, suffisante pour justifier la libération d'un prévenu, l'établissement étant équipée d'un service médical et la crainte d'une infection n'impliquant pas que le détenu serait privé de soins, si nécessaire ( ACPR/304/2020 du 13 mai 2020 consid. 5; ACPR/282/2020 du 5 mai 2020 consid. 8; ACPR/207/2020 du 18 mars 2020 consid. 5).</w:t>
      </w:r>
    </w:p>
    <w:p>
      <w:r>
        <w:rPr>
          <w:b/>
        </w:rPr>
        <w:t>E. 5.3</w:t>
      </w:r>
    </w:p>
    <w:p>
      <w:r>
        <w:t>En l'occurrence, force est de constater que le recourant a, malgré sa détention provisoire, été pris en charge médicalement pour sa pathologie et rien n'indique que cette prise en charge ne pourrait pas se poursuivre de manière adéquate, bien au contraire, si l'on se réfère au rapport médical du 13 novembre 2020. Que la prison de B______ (GE) ne soit pas un lieu idéal à cet égard n'est imputable qu'au recourant lui-même, qui a préféré réintégrer cet établissement. Quand bien même la pathologie dont il souffre pourrait le rendre vulnérable face au coronavirus, il ne prétend pas que les recommandations de l'OFSP ne seraient pas suivies au sein de la prison. Le recourant ne court pas plus de danger à l'intérieur qu'à l'extérieur de celle-ci (cf. arrêt du Tribunal fédéral 1B_169/2020 du 8 avril 2020 consid. 2.3.). Si son état de santé devait se dégrader ou la situation sanitaire à B______ (GE) se péjorer au point de mettre des détenus en danger, le service médical de la prison prendrait les dispositions nécessaires. La détention du recourant est ainsi proportionnée au regard de son état de santé et de la crise sanitaire.</w:t>
      </w:r>
    </w:p>
    <w:p>
      <w:r>
        <w:rPr>
          <w:b/>
        </w:rPr>
        <w:t>E. 6</w:t>
      </w:r>
    </w:p>
    <w:p>
      <w:r>
        <w:t>Enfin, au vu des infractions reprochées au prévenu, la durée de sa détention provisoire ne viole pas le principe de la proportionnalité, étant rappelé que la possibilité éventuelle de l'octroi d'un sursis par le juge du fond n'a pas à être prise en compte ici.</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w:t>
      </w:r>
    </w:p>
    <w:p>
      <w:r>
        <w:rPr>
          <w:b/>
        </w:rPr>
        <w:t>E. 9</w:t>
      </w:r>
    </w:p>
    <w:p>
      <w:r>
        <w:t>Il n'y a pas lieu d'indemniser à ce stade le défenseur d'office (art. 135 al. 2 CPP),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