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P/18507/2017 vom 13. Mai 2019</w:t>
      </w:r>
    </w:p>
    <w:p>
      <w:r>
        <w:t>GE Cour de justice, 2019-05-13, FR</w:t>
      </w:r>
    </w:p>
    <w:p>
      <w:r>
        <w:rPr>
          <w:b/>
        </w:rPr>
        <w:t xml:space="preserve">Quelle: </w:t>
      </w:r>
      <w:r>
        <w:t>https://mcp.opencaselaw.ch/entscheid/ge_gerichte_P_18507_2017</w:t>
      </w:r>
    </w:p>
    <w:p>
      <w:r>
        <w:t>FR: GE_GERICHTE P/18507/2017 du 13 mai 2019</w:t>
      </w:r>
    </w:p>
    <w:p>
      <w:r>
        <w:t>IT: GE_GERICHTE P/18507/2017 del 13 maggio 2019</w:t>
      </w:r>
    </w:p>
    <w:p>
      <w:pPr>
        <w:pStyle w:val="Heading2"/>
      </w:pPr>
      <w:r>
        <w:t>Regeste</w:t>
      </w:r>
    </w:p>
    <w:p>
      <w:r>
        <w:t>DISPOSITIONS PÉNALES DE LA LCR ; POLICE ; EXCÈS DE VITESSE | LCR.90; LCR.26; LCR.32; OCR.16; LCR.100; CP.14; CP.13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A teneur de l'art. 90 al. 1 LCR, celui qui viole les règles de la circulation prévues par la LCR ou par les dispositions d'exécution émanant du Conseil fédéral est puni de l'amende. 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(LCR) , Berne 2007, n. 17 ad art. 90). 2.1.2. L'art. 90 al. 2 LCR prévoit que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Une telle mise en danger est admise lorsque, compte tenu des circonstances, la survenance d'un danger concret ou d'une lésion apparaît probable (" naheliegt ") (ATF 142 IV 93 consid. 3.1 p. 96 ; 131 IV 133 consid. 3.2 p. 136 ; arrêt du Tribunal fédéral 6B_444/2016 du 3 avril 2017 consid. 1.1). Subjectivement, l'état de fait de l'art. 90 al. 2 LCR exige, selon la jurisprudence, un comportement sans scrupules ou gravement contraire aux règles de la circulation, c'est-à-dire une faute grave et, en cas d'acte commis par négligence, à tout le moins une négligence grossière. Une négligence grossière existe notamment lorsque, contrairement à ses devoirs, l'auteur ne prend absolument pas en compte le fait qu'il met en danger les autres usagers, en d'autres termes s'il se rend coupable d'une négligence inconsciente (ATF 131 IV 133 consid. 3.2 p. 136 ; arrêt du Tribunal fédéral 6B_444/2016 du 3 avril 2017 consid. 1.1). Dans de tels cas, une négligence grossière ne peut être admise que si l'absence de prise de conscience du danger créé pour autrui repose elle-même sur une absence de scrupules (arrêt 6B_1300/2016 du 5 décembre 2017 consid. 2 non publié aux ATF 143 IV 500 ).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Le mobile de l'auteur peut aussi apporter un élément pertinent dans l'évaluation de la gravité de la faute commise (Y. JEANNERET, op. cit ., n. 40 et 43 ad art. 90). 2.1.3. Selon l'art. 26 al. 1 LCR, chacun doit se comporter, dans la circulation, de manière à ne pas gêner ni mettre en danger ceux qui utilisent la route conformément aux règles établies. 2.1.4.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2.1.5. Les véhicules de la police qui sont annoncés par le feu bleu et leur avertisseur à deux sons alternés ont la priorité sur tous les usagers de la route, même aux endroits où la circulation est réglée par des signaux lumineux (art. 16 al. 1 OCR). Le feu bleu et l'avertisseur à deux sons alternés seront actionnés seulement lorsque la course officielle est urgente et que les règles de la circulation ne peuvent pas être respectées (al. 3). 2.2.1. Dans sa version en vigueur depuis le 1 er août 2016, l'art. 100 ch. 4 LCR prévoit que s'il enfreint les règles de la circulation ou des mesures spéciales relatives à la circulation lors d'une course officielle urgente ou nécessaire pour des raisons tactiques, le conducteur d'un véhicule du service du feu, du service de santé, de la police ou de la douane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modification de l'art. 100 ch. 4 LCR visait notamment à ce que le tribunal puisse exempter de toute peine le conducteur du véhicule ou atténuer la peine si les conditions requises pour justifier l'infraction en vertu de l'art. 100 ch. 4 LCR ne sont pas toutes remplies, par exemple en cas d'absence de signaux d'avertissement ou de non-respect du principe de proportionnalité (Message du Conseil fédéral du 6 mars 2015 concernant la modification de la loi fédérale sur les douanes, FF 2015 2657, p. 2675). Ces motifs d'atténuation de la peine sont moins restrictifs que ceux de l'art. 48 du code pénal suisse du 21 décembre 1937 (CP ; RS 311.0). La peine encourue ne pourra pas être atténuée si le conducteur n'a nullement fait preuve de la prudence imposée par les circonstances (Message du Conseil fédéral du 6 mars 2015, p. 2701). 2.2.2.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Selon la Notice du DETEC, pour apprécier le degré d'urgence, les conducteurs de véhicules et les chefs des services d'intervention doivent ou peuvent se fonder sur la situation telle qu'elle se présente à eux au moment de l'intervention. Les conditions du trafic doivent être telles que l'on risque d'être considérablement retardé dans l'intervention si l'on ne déroge pas aux règles de circulation ou si l'on ne fait pas usage du droit spécial de priorité (arrêts du Tribunal fédéral 6B_1302/2017 du 20 avril 2018 consid. 3.1.3 ; 6B_1102/2015 du 20 juillet 2016 consid. 2.1 et les références dans SJ 2017 I 277 ; cf. également ch. 1 de la Notice du DETEC). 2.2.3. Lors d'une course officielle urgente, le conducteur doit observer le principe de la proportionnalité, à l'instar de celui qui agit en vertu de son devoir de fonction au sens de l'art. 14 CP (arrêts du Tribunal fédéral 6B_689/2012 du 3 avril 2013 consid. 2.3 ; 6S_162/2003 du 3 août 2003 consid. 3.1 ; 4C_3/1997 du 6 juin 2000 consid. 3b ; au sujet de l'art. 14 CP : ATF 141 IV 417 consid. 3.2 p. 422 s.). L'expression "observer la prudence imposée par les circonstances"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op. cit ., n. 5.2 ad art. 100 LCR et la jurisprudence citée). L'usage du feu bleu et du signal acoustique n'est pas un blanc-seing permettant tous les excès. Le conducteur qui devient un perturbateur puisqu'il déroge aux règles ordinaires doit s'attendre à ce que son droit de priorité spécial puisse ne pas être respecté. Il doit notamment prendre en considération les conditions de circulation liées à la densité du trafic et aux conditions météorologiques, de même que les fait que les usagers ne voient ou n'entendent pas immédiatement les signaux avertisseurs optiques et sonores, en raison du bruit de la circulation ou de la configuration des lieux, qu'ils peuvent avoir des difficultés à situer aussitôt le trajet que le véhicule prioritaire se propose de suivre et à dégager immédiatement de la chaussée. S'il voit qu'un usager ne va pas respecter son droit de priorité ou, généralement, se comporte ou fait mine de se comporter de manière incorrecte, il doit ralentir, voire s'arrêter, référence pouvant être faite à l'art. 26 al. 2 in fine LCR (Y. JEANNERET, op. cit ., n. 166 ad art. 100). De la règle qui veut que les risques pris soient en adéquation avec le but poursuivi, on peut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les risques pris doivent être réduits au strict minimum (Y. JEANNERET, op. cit ., n. 167 ad art. 100). 2.3.1. Selon l'art. 14 CP, quiconque agit comme la loi l'ordonne ou l'autorise se comporte de manière licite, même si l'acte est punissable en vertu du présent code ou d'une autre loi. Lorsque l'art. 100 ch. 4 LCR ( lex specialis ; arrêt du Tribunal fédéral 6B_1161/2018 du 17 janvier 2019 consid. 1.1.3 et références citées) ne s'applique pas car l'une de ses conditions n'est pas donnée, la personne concernée continue à pouvoir se prévaloir du fait justificatif de l'art. 14 CP, dans la mesure où les violations des règles de la circulation routière ont été commises dans le cadre de l'exercice de tâches de police ainsi que dans le respect du principe de proportionnalité et ce même si ni le feu bleu ni l'avertisseur à deux sons alternés n'était enclenché (ATF 141 IV 417 consid. 3.2 p. 422 s. et les références citées ; arrêt du Tribunal fédéral 6B_1102/2015 du 20 juillet 2016 consid. 3 dans JdT 2016 I p. 195). 2.3.2.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L'erreur ne peut conduire à un acquittement que si elle est excusable (M. DUPUIS / B. GELLER / G. MONNIER / L. MOREILLON / C. PIGUET / C. BETTEX / D. STOLL [éds], Code pénal - Petit commentaire , Bâle 2012, nos 18-19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w:t>
      </w:r>
    </w:p>
    <w:p>
      <w:r>
        <w:rPr>
          <w:b/>
        </w:rPr>
        <w:t>E. 2.4</w:t>
      </w:r>
    </w:p>
    <w:p>
      <w:r>
        <w:t>La CPAR tient pour établi sur la base des éléments de la procédure, ce que l'intimé ne conteste pas, que la patrouille 2______ a demandé du renfort via la CECAL le 17 juillet 2017 à 1h54 concernant un scooter avec deux passagers à bord n'ayant pas respecté un feu rouge et ayant pris la fuite. Plusieurs patrouilles se sont annoncées pour assister la patrouille 2______, dont celle de l'intimé, qui conduisait le véhicule de service 1______. Se lançant dans une course officielle urgente, ayant activé les feux bleus et l'avertisseur à deux sons alternés, conformément aux prescriptions applicables dans un tel cas, l'intimé s'est dirigé avec ses collègues J______ et E______ vers le quartier de Rive, où il a aperçu le scooter. Une course-poursuite a eu lieu durant environ deux minutes lors de laquelle son collègue J______ a sommé à plusieurs reprises le conducteur du scooter de s'arrêter, sans réaction de sa part. Sur les derniers mètres de la course-poursuite, l'intimé a circulé parallèlement au scooter, qui roulait sur le trottoir, sur le cours de Rive et a commencé à légèrement le devancer à la hauteur de l'arrêt de bus se situant à côté du [no.] ______, cours de Rive ( cf . images de vidéo surveillance). L'intimé a ensuite décéléré, perdant l'avance qu'il avait, et obliqué à droite, montant sur le trottoir devant [le] G______, à la hauteur du passage piétons, pour effectuer une manoeuvre de barrage. Un choc s'est produit à 1h56 entre l'avant droit du véhicule de service 1______ et le côté gauche du scooter, bloqué par une chaine. Le scooter a chuté et ses deux passagers en ont été éjectés. Ils ont perdu leurs casques lors de la chute. Le conducteur du scooter a été légèrement blessé, tandis que le passager l'a été grièvement, au visage.</w:t>
      </w:r>
    </w:p>
    <w:p>
      <w:r>
        <w:rPr>
          <w:b/>
        </w:rPr>
        <w:t>E. 2.5</w:t>
      </w:r>
    </w:p>
    <w:p>
      <w:r>
        <w:t>L'intimé se prévaut d'une erreur sur les faits pour avoir cru que 20 m séparaient son véhicule du scooter, dans la mesure où il avait perçu ses feux dans son rétroviseur droit, lui laissant le temps d'arrêter son véhicule sur le trottoir et au scooter de freiner et de s'arrêter à temps. Le MP ne remet pas en cause l'existence d'une telle erreur en particulier aux termes de son ordonnance pénale, valant acte d'accusation, qui lie la CPAR (art. 9 CPP ; principe de l'accusation), estimant toutefois qu'elle est fautive. Il y a donc lieu d'examiner si cette erreur était évitable, à savoir si, au vu de la situation, l'intimé n'aurait pas dû se rendre compte que, contrairement à ce qu'il pensait, le scooter ne disposait pas d'une marge suffisante pour s'arrêter ou éviter le véhicule de police. L'intimé a dans un premier temps prétendu avoir vu le phare du scooter à une vingtaine de mètres derrière lui avant de s'engager sur le trottoir, de sorte que son conducteur aurait eu largement le temps de s'arrêter. Confronté aux images de vidéo surveillance, il a concédé l'absence d'une telle avance et a déclaré penser avoir confondu, dans son rétroviseur droit, le phare du scooter en fuite avec un reflet ou un éclat de feu bleu, même s'il savait que le scooter était sur le trottoir. Il a par contre de manière constante indiqué avoir regardé devant lui, sur sa droite, avant de s'engager sur le trottoir, pour s'assurer de l'absence de piétons à l'endroit où il comptait placer son véhicule pour faire barrage au deux roues. Toutefois, même si dans sa - fausse - représentation des choses il était convaincu que le scooter se trouvait à plusieurs mètres derrière lui et qu'il est établi qu'il venait de longer le trottoir sur lequel circulait ce scooter qui se trouvait alors sur sa droite, il ne pouvait s'abstenir à tout le moins de regarder une nouvelle fois vers l'arrière à droite, pour balayer ledit trottoir de son regard, avant de bifurquer dans cette direction et l'emprunter. En effet, s'il n'avait pas à s'attendre à trouver sur ce trottoir d'autres usagers que des piétons, tout au plus en trottinette voire en vélo, mais en tous les cas se déplaçant à une allure nettement moindre que la sienne, il savait cependant que le scooter roulait lui à vive allure. A ce moment-là, l'intimé n'avait pas encore connaissance de l'entrée dans la course-poursuite d'un second scooter. Il était peu avant 2h00 et les images de vidéo-surveillance montrent qu'il n'y avait ni circulation, ni piétons. Aussi, étant rappelé que la prise d'une décision rapide s'est certes imposée à lui, il doit être retenu qu'en embrassant du regard devant lui l'ensemble du trottoir sur lequel il allait monter, sans jeter un dernier coup d'oeil dans son rétroviseur droit, ni demander à ses collègues si la voie était libre sur sa droite - étant établi par les témoignages des trois occupants du véhicule qu'il n'ont alors échangé aucun mot -, soit plus précisément si le scooter était à distance suffisante, il doit être retenu qu'il n'a pas pris toutes les précautions nécessaires et partant a agi sous l'influence d'une appréciation certes erronée de la situation mais fautive. Son erreur était évitable. Il ne pouvait en effet dans ces circonstances s'abstenir, avant de bifurquer à angle droit sur le trottoir pour bloquer le scooter, de s'assurer d'une avance suffisante sur ce dernier véhicule. Comme relevé par le MP, quand bien même l'appelant se serait au moment de bifurquer effectivement trouvé à une vingtaine de mètres devant le scooter, il n'est pas certain ni même probable que la vitesse du scooter, proche de la sienne, de 49.5 km/h à 27.36 m de l'arrêt, aurait permis à ce dernier de s'arrêter à temps et d'éviter la collision, particulièrement alors qu'il circulait avec un passager à vive allure sur un trottoir comptant du mobilier urbain comme en l'espèce. Enfin, l'intimé n'a pas soutenu ne pas avoir eu connaissance des recommandations publiées dans le BIP une année plus tôt interdisant les manoeuvres de déstabilisation consistant à stopper ou ralentir une voiture en fuite en utilisant un véhicule de service, manoeuvres jugées trop dangereuse pour l'occupant des véhicules poursuivant et poursuivi(s), recommandations qui s'appliquent a fortiori lorsque le véhicule poursuivi est un deux roues dont l'équilibre est précaire en particulier en cas de freinage d'urgence, qui plus est lorsqu'il transporte un passager comme en l'espèce.</w:t>
      </w:r>
    </w:p>
    <w:p>
      <w:r>
        <w:rPr>
          <w:b/>
        </w:rPr>
        <w:t>E. 2.6</w:t>
      </w:r>
    </w:p>
    <w:p>
      <w:r>
        <w:t>L'intimé n'a par ailleurs dans sa manoeuvre pas respecté leprincipe de proportionnalité. Qu'il ait pensé que les occupants du scooter aient été les auteurs de brigandages, sous la forme d'arrachage de sacs, de voleurs de scooter impliqué dans un délit de fuite en France ou tout simplement d'usagers de la route ayant brûlé un feu rouge et pris la fuite à la vue d'une première patrouille de police, il est manifeste que leur interception répondait à un intérêt public. Un scooter, pris en fuite, roulant ensuite, avec un passager, à vive allure en contresens, sur des voies de tram et surtout sur un trottoir, représentait, même en pleine nuit, un réel danger pour les autres usagers, y compris les autres patrouilles lancées à sa suite et justifiait son interception. En revanche, faire barrage à ce deux-roues dans ces circonstances, en plein centre-ville, alors même que d'autres voitures de patrouille étaient justement engagées, était disproportionné, ce qui devait s'imposer à l'appelant au moment de son action déjà et pas seulement dans une analyse de la situation a posteriori .</w:t>
      </w:r>
    </w:p>
    <w:p>
      <w:r>
        <w:rPr>
          <w:b/>
        </w:rPr>
        <w:t>E. 2.7</w:t>
      </w:r>
    </w:p>
    <w:p>
      <w:r>
        <w:t>Partant, contrairement à ce qu'a retenu le premier juge, l'intimé n'a pas fait preuve de la prudence commandée par les circonstances, de sorte qu'il est punissable au sens de l'art. 100 ch. 4 LCR et doit être reconnu coupable chef d'infraction à l'art. 90 al. 2 LCR compte tenu de la mise en danger concrète survenue en l'espèce.</w:t>
      </w:r>
    </w:p>
    <w:p>
      <w:r>
        <w:rPr>
          <w:b/>
        </w:rPr>
        <w:t>E. 3</w:t>
      </w:r>
    </w:p>
    <w:p>
      <w:r>
        <w:t>.1.1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principes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(ATF 134 IV 97 consid. 4 p. 100 ss). 3.1.2. Le juge dispose d'un large pouvoir d'appréciation dans la fixation de la peine (arrêt 6B_835/2018 du 8 novembre 2018 consid. 2.1). Le juge n'est pas lié, dans la fixation de la peine, par les réquisitions du ministère public (arrêts du Tribunal fédéral 6B_98/2017 du 1er septembre 2017 consid. 3.3.3 ; 6B_616/2015 du 5 avril 2016 consid. 3.3 ; 6B_553/2014 du 24 avril 2015 consid. 3.3 et les références citées). 3.1.3. Le juge atténue la peine si l'auteur a agi en cédant à un mobile honorable (art. 48 let. a ch. 1 CP).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et la référence citée). 3.1.4. Le juge qui atténue la peine n'est pas lié par le minimum légal de la peine prévue pour l'infraction. Il peut prononcer une peine d'un genre différent de celui qui est prévu pour l'infraction mais il reste lié par le maximum et par le minimum légal de chaque genre de peine (art. 48a al. 1 et al 2 CP). 3.1.5.1.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2ème éd., Bâle 2017, Rem. prél. ad art. 34 à 41, n. 2 ss). A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(art. 46 al 1 nouveau CP). 3.1.5.2. En l'espèce, les faits ont été commis pour partie avant l'entrée du nouveau droit et pour partie après. L'ancien droit, plus favorable à l'appelant, sera partant appliqué. 3.1.6.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Le nombre des jours-amende exprime la mesure de la peine. 3.1.7. Le juge suspend en règle générale, notamment l'exécution d'une peine pécuniaire, lorsqu'une peine ferme ne paraît pas nécessaire pour détourner l'auteur d'autres crimes ou délits (art. 42 al. 1 aCP).</w:t>
      </w:r>
    </w:p>
    <w:p>
      <w:r>
        <w:rPr>
          <w:b/>
        </w:rPr>
        <w:t>E. 3.2</w:t>
      </w:r>
    </w:p>
    <w:p>
      <w:r>
        <w:t>La faute de l'appelant n'est pas négligeable. Par son comportement, certes dans une course-poursuite urgente, il a concrètement mis en danger et porté atteinte à l'intégrité physique de deux occupants du scooter poursuivi. Il doit néanmoins être retenu qu'il a agi en cédant à un mobile honorable, compte tenu du but poursuivi, à savoir la poursuite d'auteurs présumés de délits mettant de leur côté gravement en danger la sécurité des autres usagers de la chaussée en circulant notamment à vive allure sur un trottoir. Sa collaboration à l'enquête est sans particularité. Sa prise de conscience est bonne. Il a renoncé de son plein gré, bien que non encore sanctionné administrativement, à conduire un véhicule. Il sied également de ne pas hypothéquer son avenir professionnel, alors même qu'il ne ressort pas de la procédure que son comportement ait autrement posé problème, ce qui n'a nullement été dénoncé par sa hiérarchie. Il se justifie ainsi de prononcer à son encontre une peine pécuniaire de 30 jours-amende, à CHF 150.- l'unité, assortie du sursis, délai d'épreuve de deux ans, à même de le détourner de la commission de nouvelles infractions. Enfin, la CPAR considère que cette sanction est suffisante pour sanctionner l'infraction commise dans les circonstances spécifiques du cas d'espèce de sorte qu'elle ne prononcera pas en sus une amende comme demandé par le MP.</w:t>
      </w:r>
    </w:p>
    <w:p>
      <w:r>
        <w:rPr>
          <w:b/>
        </w:rPr>
        <w:t>E. 4.1</w:t>
      </w:r>
    </w:p>
    <w:p>
      <w:r>
        <w:t>Selon les art. 426 al. 1 et 428 al. 1 CPP, les frais de la procédure de première instance _ que la CPAR est tenue de revoir lorsqu'elle rend une nouvelle décision - (art. 428 al. 3 CPP)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4.2</w:t>
      </w:r>
    </w:p>
    <w:p>
      <w:r>
        <w:t>Dans la mesure où l'intimé est reconnu coupable, il succombe en appel mais aussi en première instance, de sorte que l'intégralité des frais de la procédure doivent être mis à sa charge, comprenant en appel un émolument de CHF 1'500.- (art. 14 al. 1 let. e du règlement fixant le tarif des frais en matière pénale [RTFMP ; E 4 10.03]).</w:t>
      </w:r>
    </w:p>
    <w:p>
      <w:r>
        <w:rPr>
          <w:b/>
        </w:rPr>
        <w:t>E. 5</w:t>
      </w:r>
    </w:p>
    <w:p>
      <w:r>
        <w:t>5.1. A teneur de l'art. 429 al. 1 CPP, le prévenu a droit, s'il bénéficie d'une ordonnance de classement, notamment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rPr>
          <w:b/>
        </w:rPr>
        <w:t>E. 5.2</w:t>
      </w:r>
    </w:p>
    <w:p>
      <w:r>
        <w:t>Vu le verdict de culpabilité, les prétentions de l'intimé fondées sur l'art. 429 CPP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