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P/18470/2014 vom 15. Januar 2016</w:t>
      </w:r>
    </w:p>
    <w:p>
      <w:r>
        <w:t>GE Cour de justice, 2016-01-15, FR</w:t>
      </w:r>
    </w:p>
    <w:p>
      <w:r>
        <w:rPr>
          <w:b/>
        </w:rPr>
        <w:t xml:space="preserve">Quelle: </w:t>
      </w:r>
      <w:r>
        <w:t>https://mcp.opencaselaw.ch/entscheid/ge_gerichte_P_18470_2014</w:t>
      </w:r>
    </w:p>
    <w:p>
      <w:r>
        <w:t>FR: GE_GERICHTE P/18470/2014 du 15 janvier 2016</w:t>
      </w:r>
    </w:p>
    <w:p>
      <w:r>
        <w:t>IT: GE_GERICHTE P/18470/2014 del 15 gennaio 2016</w:t>
      </w:r>
    </w:p>
    <w:p>
      <w:pPr>
        <w:pStyle w:val="Heading2"/>
      </w:pPr>
      <w:r>
        <w:t>Regeste</w:t>
      </w:r>
    </w:p>
    <w:p>
      <w:r>
        <w:t>VIOLATION DES RÈGLES DE LA CIRCULATION; INDEMNITÉ(EN GÉNÉRAL) | LCR.32.1; LCR.90.1; LCR.90.2; CPP.436.2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Selon l'art. 90 al. 1 LCR, celui qui viole les règles de la circulation prévues par la présente loi ou par les dispositions d'exécution émanant du Conseil fédéral est puni de l'amende. À teneur de l'al. 2 de cette disposition, est considérée comme grave la violation grossière d'une règle fondamentale, qui crée un sérieux danger pour la vie d'autrui, même de manière abstraite. Sur le plan de la faute,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(ATF 131 IV 133 consid. 3.2 p. 136 et les arrêts cités). Selon la jurisprudence,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p. 237 ss ; 124 II 259 consid. 2b p. 261 ss ; arrêts du Tribunal fédéral 6B_865/2014 du 2 avril 2015 consid. 1.5.1 et 6B_1011/2013 du 13 mars 2014 consid. 2.1).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Le Tribunal fédéral a régulièrement nié l'existence de telles circonstances à décharge (arrêts du Tribunal fédéral 6B_1011/2013 précité et 6B_571/2012 du 8 avril 2013 consid. 3.4). Le cas est de gravité moyenne lorsque le dépassement de la vitesse autorisée est, respectivement, de 21 à 24 km/h (ATF 126 II 196 consid. 2a p. 199), de 26 à 29 km/h et de 31 à 34 km/h (ATF 128 II 131 consid. 2 p. 132/133). Le Tribunal fédéral a souligné le caractère incontournable d'un certain schématisme en matière d'excès de vitesse, qui constituent des infractions de masse (arrêt du Tribunal fédéral 1C_83/2008 du 16 octobre 2008 consid. 2.6). Il a confirmé cette pratique après l'avoir réexaminée à la lumière des règles révisées de la LCR (ATF 132 II 234 consid. 3 p. 237) et des critiques formulées par une partie de la doctrine (cf. arrêt du Tribunal fédéral 1C_83/2008 du 16 octobre 2008 consid. 2 ; Y. JEANNERET, Les dispositions pénales de la Loi sur la circulation routière (LCR) , Berne 2007, n. 49 p. 54 ad art. 90). Même en deçà de ces limites, voire si le conducteur a circulé à une vitesse égale ou même inférieure à celle autorisée sur le tronçon litigieux, le cas peut néanmoins être objectivement grave pour d'autres motifs, par exemple à raison d'une vitesse inadaptée aux circonstances, au sens de l'art. 32 ch. 1 LCR, ayant entraîné une perte de maîtrise du véhicule. Ainsi, une mise en danger grave de la sécurité du trafic a-t-elle été retenue dans le cas d'un automobiliste qui, malgré une forte pluie, avait circulé sur une autoroute à quelque 120 km/h et était parti en dérapage à cause de l'aquaplaning (ATF 120 Ib 312 consid. 4c p. 315/316). Il a été relevé qu'il en irait de même dans le cas de celui qui, à l'intérieur d'une localité, circulerait à 50 km/h à proximité d'un jardin d'enfants au moment où des enfants s'y trouvent (ATF 121 II 127 consid. 4a p. 132). 2.2.1 En l'espèce, bien que l'excès de vitesse de 30 km/h commis par l'appelant sur l'autoroute N1 soit constitutif d'une violation simple des règles de la circulation routière au regard de la jurisprudence précitée, le premier juge a qualifié l'infraction d'objectivement grave, en retenant que ce tronçon était " notoirement surchargé " et que l'infraction avait eu lieu à proximité de la douane de Bardonnex. Or, l'appelant souligne à juste titre, qu'il ressort aussi bien du rapport de police que du jugement entrepris, que le trafic était fluide au moment des faits. Le premier juge ne saurait davantage être suivi lorsqu'il relève que l'infraction a été commise aux abords du poste-frontière, puisque l'excès de vitesse s'est produit à plus d'un kilomètre de ce dernier, ce qui laissait suffisamment de temps à l'intéressé pour adapter sa vitesse. Partant, il n'existait aucun motif particulier susceptible de qualifier l'infraction d'objectivement grave, d'autant moins que celle-ci a été réalisée de jour et par temps sec, sur un tronçon rectiligne, alors que la visibilité était dégagée. Par conséquent, seule une violation simple des règles de la circulation routière peut être reprochée à l'appelant. 2.2.2 En considérant ce qui précède, le jugement dont est appel sera entièrement annulé.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3.1.2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Un jour de détention correspond schématiquement à CHF 100.- d'amende (R. ROTH / L. MOREILLON, Commentaire romand du Code pénal I , Bâle 2009, no 19 ad art. 106 CP). Pour apprécier la situation de l'auteur, le juge tient compte notamment de son revenu et sa fortune, son état civil et ses charges de famille, sa profession et son gain professionnel, son âge et son état de santé, ainsi que l'économie réalisée par la commission de l'infraction (ATF 129 IV 6 consid. 6.1 p. 20 s.). La situation économique déterminante est celle de l'auteur au moment où l'amende est prononcée (ATF 119 IV 330 consid. 3 p. 337).</w:t>
      </w:r>
    </w:p>
    <w:p>
      <w:r>
        <w:rPr>
          <w:b/>
        </w:rPr>
        <w:t>E. 3.2</w:t>
      </w:r>
    </w:p>
    <w:p>
      <w:r>
        <w:t>En l'espèce, la faute de l'appelant n'est pas anodine dans la mesure où, même qualifié de violation simple des règles de la circulation routière, son excès de vitesse n'en demeure pas moins important et se trouve à la limite à partir de laquelle la jurisprudence considère que le cas doit être considéré comme objectivement grave. Cela étant, le comportement de l'appelant ne dénote pas un mépris caractérisé des règles de la circulation routière, dans la mesure où sa femme atteste qu'il est d'ordinaire un conducteur prudent et consciencieux. La situation financière de l'appelant est confortable. Sa collaboration à la procédure a été bonne. Il a immédiatement reconnu les faits qui lui étaient reprochés. Il n'a pas d'antécédents à teneur du dossier. En considérant ce qui précède et vu la situation personnelle de l'appelant, celui-ci sera condamné à une amende de CHF 500.-, laquelle est proportionnée et correspond à sa faute. La peine de substitution sera arrêtée à cinq jours. 4.1.1 En vertu de l'art. 436 al. 2 CPP, lorsque ni un acquittement total ou partiel ni un classement ne sont prononcés, le prévenu peut prétendre à une juste indemnité dans la procédure de recours (« Rechtsmittelverfahren ») s'il obtient gain de cause « sur d'autres points », à savoir les points accessoires d'un jugement, soit par exemple lorsque le prévenu obtient une peine inférieure à celle infligée par le jugement de première instance ( ACPR/41/2012 du 30 janvier 2012 ; M. NIGGLI / M. HEER / H. WIPRÄCHTIGER (éds), Strafprozessordnung – Jugendstrafprozessordnung, Basler Kommentar StPO/JStPO , 2 e éd., Bâle 2014, n. 10 ad art. 436). 4.1.2 Une indemnité ne peut être refusée pour le motif que les frais du procès sont couverts par une assurance de protection juridique parce que la partie s'est assurée à ses frais contre le risque de devoir supporter elle-même les frais du procès, mais non pas pour en libérer sa partie adverse (ATF 117 Ia 295 consid. 3 ; arrêt 9C_178/2010 du 14 avril 2010 consid. 2). 4.2 En l'occurrence, l'intervention d'un avocat était nécessaire dans la mesure où l'appelant a du faire opposition à l'ordonnance pénale, qui retenait à tort que les faits reprochés étaient constitutifs d'une violation grave des règles de la circulation routière, pour n'obtenir gain de cause qu'en appel. Le principe d'une indemnisation de ses frais d'avocat lui est donc acquis. Néanmoins, la note d'honoraire totale produite par son défenseur évoquant 30 heures d'activité correspondant au montant de CHF 9'382'50 apparait excessive au regard de la complexité relative de la cause et compte tenu du fait que celui-ci n'est intervenu qu'au stade de l'opposition à l'ordonnance pénale. Il y a lieu de considérer que la défense raisonnable ne nécessitait pas davantage que 15 heures d'activité pour l'ensemble de la procédure, au tarif horaire de CHF 300.-, conformément à l'accord passé entre ce dernier et l'assurance de protection juridique de l'appelant, ce qui justifie l'allocation, à la charge de l'État, d'un montant de CHF 4'832.-, TVA comprise.</w:t>
      </w:r>
    </w:p>
    <w:p>
      <w:r>
        <w:rPr>
          <w:b/>
        </w:rPr>
        <w:t>E. 5</w:t>
      </w:r>
    </w:p>
    <w:p>
      <w:r>
        <w:t>Vu l'issue du litige, les frais de procédure de première instance et d'appel seront laissés à la charge de l'État, l'appelant ne devant supporter que les frais relatifs à l'ordonnance pénale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