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P/18435/2019 vom 26. Februar 2020</w:t>
      </w:r>
    </w:p>
    <w:p>
      <w:r>
        <w:t>GE Cour de justice, 2020-02-26, FR</w:t>
      </w:r>
    </w:p>
    <w:p>
      <w:r>
        <w:rPr>
          <w:b/>
        </w:rPr>
        <w:t xml:space="preserve">Quelle: </w:t>
      </w:r>
      <w:r>
        <w:t>https://mcp.opencaselaw.ch/entscheid/ge_gerichte_P_18435_2019</w:t>
      </w:r>
    </w:p>
    <w:p>
      <w:r>
        <w:t>FR: GE_GERICHTE P/18435/2019 du 26 février 2020</w:t>
      </w:r>
    </w:p>
    <w:p>
      <w:r>
        <w:t>IT: GE_GERICHTE P/18435/2019 del 26 febbraio 2020</w:t>
      </w:r>
    </w:p>
    <w:p>
      <w:pPr>
        <w:pStyle w:val="Heading2"/>
      </w:pPr>
      <w:r>
        <w:t>Regeste</w:t>
      </w:r>
    </w:p>
    <w:p>
      <w:r>
        <w:t>DÉTENTION PROVISOIRE;MESURE DE SUBSTITUTION À LA DÉTENTION;RISQUE DE RÉCIDIVE;AFFECTION PSYCHIQUE | CPP.221; CPP.237.al5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 crime ou un délit.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(cf. arrêt du Tribunal fédéral 1B_215/2014 du 4 juillet 2014 consid. 3.2).</w:t>
      </w:r>
    </w:p>
    <w:p>
      <w:r>
        <w:rPr>
          <w:b/>
        </w:rPr>
        <w:t>E. 2.2</w:t>
      </w:r>
    </w:p>
    <w:p>
      <w:r>
        <w:t>En l'espèce, les éléments au dossier, en particulier les constatations de la police et les déclarations de la fille aînée du couple, sont de nature à corroborer les explications de l'épouse du recourant sur le déroulement des faits dans la nuit du 8 au 9 septembre 2020. Il existe dès lors des soupçons importants de menaces (art. 180 CP), tentative de lésions corporelles graves au moyen d'une arme ou d'un objet dangereux (art. 22 et 122 CP) et contrainte (art. 181 CP). Les charges sont donc suffisantes, au sens de l'art. 221 al. 1 CPP. L'instruction est en cours. Il appartient désormais au Ministère public de confronter rapidement les parties, de solliciter l'apport du constat de lésions traumatiques de la plaignante - qui ne figure pas au dossier - et l'exécution du mandat d'actes d'enquête, qu'il a décerné il y a plus de 5 mois.</w:t>
      </w:r>
    </w:p>
    <w:p>
      <w:r>
        <w:rPr>
          <w:b/>
        </w:rPr>
        <w:t>E. 3</w:t>
      </w:r>
    </w:p>
    <w:p>
      <w:r>
        <w:t>Si le risque de collusion n'a pas empêché le Ministère public et, à sa suite, le TMC de prononcer la libération du recourant le lendemain des événements du 9 septembre 2019, a fortiori ce risque ne saurait être retenu plus de six mois plus tard, alors que le prévenu a bénéficié de sorties lors de son hospitalisation à J______ et définitivement quitté la clinique le 22 janvier 2020.</w:t>
      </w:r>
    </w:p>
    <w:p>
      <w:r>
        <w:rPr>
          <w:b/>
        </w:rPr>
        <w:t>E. 4</w:t>
      </w:r>
    </w:p>
    <w:p>
      <w:r>
        <w:t>Le risque de fuite est, comme retenu par le TMC, ténu et pourrait être pallié par des mesures de substitution.</w:t>
      </w:r>
    </w:p>
    <w:p>
      <w:r>
        <w:rPr>
          <w:b/>
        </w:rPr>
        <w:t>E. 5</w:t>
      </w:r>
    </w:p>
    <w:p>
      <w:r>
        <w:t>Le recourant conteste tout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Action Éducative en Milieu Ouvert ( AEMO )0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5.2</w:t>
      </w:r>
    </w:p>
    <w:p>
      <w:r>
        <w:t>En l'espèce, selon l'expertise psychiatrique, le recourant souffre, notamment, d'un trouble délirant persistant de type psychose paranoïaque chronique sévère. Il présente un risque important de récidive de faits de même nature que ceux pour lesquels il est poursuivi, à savoir des violences physiques à l'égard de son épouse, laquelle est au centre de ses pensées délirantes de persécution. Bien que le recourant le conteste, il existe des soupçons suffisants qu'il ait fait usage d'un couteau à l'encontre de la plaignante dans la nuit du 8 au 9 septembre 2019. Il a, en outre, admis avoir frappé son épouse en 2013 déjà, selon l'expertise psychiatrique qui se fonde sur des aveux du recourant à l'époque, puis à nouveau en 2018, ce qui ressort de la procédure pénale P/1______/2018. Le bien juridiquement protégé, à savoir l'intégrité physique de l'épouse du recourant, est d'une importance telle que l'on peut se fonder sur les faits précités pour retenir un risque de réitération concret, sans qu'une précédente condamnation judiciaire ne soit requise.</w:t>
      </w:r>
    </w:p>
    <w:p>
      <w:r>
        <w:rPr>
          <w:b/>
        </w:rPr>
        <w:t>E. 6</w:t>
      </w:r>
    </w:p>
    <w:p>
      <w:r>
        <w:t>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(arrêts du Tribunal fédéral 1B_485/2019 du 12 novembre 2019, consid. 3.1 ; 1B_312/2019 du 10 juillet 2019 consid. 2.1 ; 1B_470/2016 du 16 janvier 2017 consid. 2.1 et la référence citée). Cette disposition, qui ne prévoit aucun automatisme, offre une grande latitude de jugement au tribunal compétent. L'efficacité d'une mesure de substitution, telle que l'obligation de se soumettre à un traitement thérapeutique, doit s'apprécier dans le temps (arrêt du Tribunal fédéral 1B_201/2013 du 26 juin 2013 précité consid. 2.2). Une réincarcération n'est possible que lorsque les précédents motifs de détention existent toujours et si les mesures de substitutions ne sont pas suffisantes (arrêt du Tribunal fédéral 1B_473/2012 du 12 septembre 2012 consid. 5; N. SCHMID, Schweizerische Strafprozessordnung : Praxiskommentar , 2e éd., Zurich 2013, n. 20 ad art. 237; N. SCHMID, Handbuch des schweizerischen Strafprozessrechts , 2e éd., Zurich 2013, p. 454), ou que d'autres mesures ne sont pas possibles (ATF 140 IV 19 consid. 2.6).</w:t>
      </w:r>
    </w:p>
    <w:p>
      <w:r>
        <w:rPr>
          <w:b/>
        </w:rPr>
        <w:t>E. 6.1</w:t>
      </w:r>
    </w:p>
    <w:p>
      <w:r>
        <w:t>En vertu du principe de la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l'art. 237, en énumérant, de manière non exhaustive (cf. ATF 142 IV 367 consid. 2.1 p. 370), certaines mesures de substitution.</w:t>
      </w:r>
    </w:p>
    <w:p>
      <w:r>
        <w:rPr>
          <w:b/>
        </w:rPr>
        <w:t>E. 6.3</w:t>
      </w:r>
    </w:p>
    <w:p>
      <w:r>
        <w:t>En l'espèce, depuis le prononcé des mesures de substitution ordonnées en septembre 2019, l'expert psychiatre a rendu son rapport. Il est désormais établi que le recourant souffre d'un grave trouble mental, dont la sévérité est importante, que la psychose paranoïaque chronique dont il est atteint vise principalement son épouse et qu'il présente, donc, un risque important de récidive d'actes de violences vis-à-vis de celle-ci. À cet égard, c'est en vain que le recourant invoque les rapports médicaux établis par les médecins de J______ durant son séjour, ceux-ci ayant expressément renoncé à poser un diagnostic et s'en étant remis à l'avis de l'expert psychiatre. Que le recourant n'ait pas, durant son séjour, présenté de troubles du comportement ne permet pas de remettre en cause le diagnostic posé par l'expertise, étant relevé que ses convictions sur les tromperies alléguées de son épouse ont été décrites, à chaque fois, comme " inébranlables ", et qu'elles sont, précisément, au centre de son trouble paranoïaque. Durant son séjour à J______, la situation du recourant était particulière, puisqu'il était encadré et, surtout, bénéficiait d'un traitement médicamenteux et thérapeutique. Livré à lui-même et anosognosique, le risque est très grand qu'il arrête son traitement, comme il l'avait d'ailleurs fait avant les événements du 9 septembre 2019 - dont il conteste au demeurant la gravité -, soit à nouveau assailli d'idées délirantes à l'égard de son épouse et s'en prenne à nouveau physiquement à elle. C'est donc à bon droit que le TMC a retenu un pronostic très défavorable, particulièrement à une période où le recourant sera amené à interagir avec son épouse dans le cadre de la procédure de divorce. L'expertise psychiatrique, qui conclut à un traitement institutionnel en milieu fermé, est ainsi un fait nouveau justifiant la révocation des mesures de substitution et le placement du recourant en détention provisoire, aucune autre mesure n'étant à même de pallier le risque très élevé de réitération.</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Même en cas de maladie grave, il ne se justifie pas d'interrompre la détention si des soins appropriés restent compatibles avec l'exécution de la peine et le but de celle-ci (ATF 136 IV 97 consid. 5.2.1 p. 103; 106 IV 321 consid. 7a p. 324).</w:t>
      </w:r>
    </w:p>
    <w:p>
      <w:r>
        <w:rPr>
          <w:b/>
        </w:rPr>
        <w:t>E. 7.2</w:t>
      </w:r>
    </w:p>
    <w:p>
      <w:r>
        <w:t>Compte tenu des faits qui lui sont reprochés, la mise en détention provisoire du recourant pour une durée de trois mois respecte le principe de la proportionnalité, au sens des art. 197 al. 1 et 212 al. 3 CPP. Par ailleurs, bien que souffrant d'une pathologie de la colonne vertébrale, le recourant ne démontre pas qu'il serait incapable de subir la détention provisoire pour des motifs très sérieux de santé, ni qu'un traitement administré en milieu carcéral, ou en milieu médicalisé, ne serait pas de nature à atténuer les effets de la détention.</w:t>
      </w:r>
    </w:p>
    <w:p>
      <w:r>
        <w:rPr>
          <w:b/>
        </w:rPr>
        <w:t>E. 8</w:t>
      </w:r>
    </w:p>
    <w:p>
      <w:r>
        <w:t>Le recours s'avère ainsi infondé et doit être rejeté.</w:t>
      </w:r>
    </w:p>
    <w:p>
      <w:r>
        <w:rPr>
          <w:b/>
        </w:rPr>
        <w:t>E. 9</w:t>
      </w:r>
    </w:p>
    <w:p>
      <w:r>
        <w:t>Le recourant, qui succombe, supportera les frais envers l'État, qui seront fixés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