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P/18417/2019 vom 7. Oktober 2020</w:t>
      </w:r>
    </w:p>
    <w:p>
      <w:r>
        <w:t>GE Cour de justice, 2020-10-07, FR</w:t>
      </w:r>
    </w:p>
    <w:p>
      <w:r>
        <w:rPr>
          <w:b/>
        </w:rPr>
        <w:t xml:space="preserve">Quelle: </w:t>
      </w:r>
      <w:r>
        <w:t>https://mcp.opencaselaw.ch/entscheid/ge_gerichte_P_18417_2019</w:t>
      </w:r>
    </w:p>
    <w:p>
      <w:r>
        <w:t>FR: GE_GERICHTE P/18417/2019 du 7 octobre 2020</w:t>
      </w:r>
    </w:p>
    <w:p>
      <w:r>
        <w:t>IT: GE_GERICHTE P/18417/2019 del 7 ottobre 2020</w:t>
      </w:r>
    </w:p>
    <w:p>
      <w:pPr>
        <w:pStyle w:val="Heading2"/>
      </w:pPr>
      <w:r>
        <w:t>Regeste</w:t>
      </w:r>
    </w:p>
    <w:p>
      <w:r>
        <w:t>SÉQUESTRE(MESURE PROVISIONNELLE);SOUPÇON | CP.138; CP.158; CP.146; CP.251; CP.70; CPP.263</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Par ailleurs, le prévenu, partie à la procédure (art. 104 al. 1 let. a CPP), a qualité pour agir en tant que la mesure porte sur des fonds dont il est titulaire, ayant un intérêt juridiquement protégé à la modification ou à l'annulation de la décision querellée (art. 382 al. 1 CPP). Sous cet angle, le recours est donc recevable. En revanche, la qualité pour agir doit être déniée au recourant en tant que l'ordonnance querellée porte sur un compte appartenant à ses parents, faute d'intérêt, étant relevé que le recours serait en toute hypothèse sans objet sur ce point, le Ministère public ayant, par courrier du 21 octobre 2020, ordonné la levée de ce séquestre.</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2.2.1. L'art. 70 al. 1 CP autorise le juge à confisquer des valeurs patrimoniales qui sont le résultat d'une infraction, si elles ne doivent pas être restituées au lésé en rétablissement de ses droits.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(ATF 140 IV 57 consid. 4.1 et 4.1.1 et les références citées). 2.2.2. Lorsque les valeurs patrimoniales à confisquer ne sont plus disponibles,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(confiscation), dispositions requérant en revanche l'existence d'un tel rapport de connexité (ATF 140 IV 57 consid. 4.1.2). 2.2.3. La finalité de ces dispositions est d'ôter à l'auteur (ou à un tiers bénéficiaire) toute rentabilité à l'infraction commise. C'est donc la suppression de l'avantage financier résultant de l'activité illicite qui est visée. En l'absence d'enrichissement, le séquestre pénal ne peut pas être prononcé (ATF 139 IV 209 consid. 5.3; L. MOREILLON/Y. NICOLET, La créance compensatrice , in RPS 135 (2017) p. 417, p. 419 et p. 426 ainsi que les références citées). Une saisie à l'égard d'un tiers est en outre exclue, lorsque ce dernier a acquis les valeurs dans l'ignorance des faits qui auraient justifié la confiscation, et cela dans la mesure où il a fourni une contre-prestation adéquate ou si la confiscation se révèle d'une rigueur excessive (art. 70 al. 2 CP, applicable également par renvoi de l'art. 71 al. 1 in fine CP; arrêt du Tribunal fédéral 1B_76/2020 du 6 juillet 2020 consid. 4.3).</w:t>
      </w:r>
    </w:p>
    <w:p>
      <w:r>
        <w:rPr>
          <w:b/>
        </w:rPr>
        <w:t>E. 2.3</w:t>
      </w:r>
    </w:p>
    <w:p>
      <w:r>
        <w:t>Le séquestre est fondé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 du Tribunal fédéral 1B_556/2017 du 5 juin 2018 consid. 4.3 et les références citées).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w:t>
      </w:r>
    </w:p>
    <w:p>
      <w:r>
        <w:rPr>
          <w:b/>
        </w:rPr>
        <w:t>E. 3</w:t>
      </w:r>
    </w:p>
    <w:p>
      <w:r>
        <w:t>À l'appui de son ordonnance, le Ministère public a cité les art. 138, 146 et 158 CP. Ultérieurement, il a précisé que le recourant était soupçonné de faux dans les titres ainsi que d'avoir favorisé les infractions susmentionnées ou participé à la commission de celles-ci.</w:t>
      </w:r>
    </w:p>
    <w:p>
      <w:r>
        <w:rPr>
          <w:b/>
        </w:rPr>
        <w:t>E. 3.1</w:t>
      </w:r>
    </w:p>
    <w:p>
      <w:r>
        <w:t>Commet un abus de confiance celui qui, sans droit, aura employé à son profit ou au profit d'un tiers des valeurs patrimoniales qui lui avaient été confiées (art. 138 ch. 1 CP).</w:t>
      </w:r>
    </w:p>
    <w:p>
      <w:r>
        <w:rPr>
          <w:b/>
        </w:rPr>
        <w:t>E. 3.2</w:t>
      </w:r>
    </w:p>
    <w:p>
      <w:r>
        <w:t>Se rend coupable de gestion déloyale notamment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CP). La peine est aggravée si l'auteur a agi dans le dessein de se procurer ou de procurer à un tiers un enrichissement illégitime. L'infraction de gestion déloyale est un délit propre pur, ce qui signifie que les participants qui ne revêtent pas les qualités exigées ne peuvent être qu'instigateurs ou complices (M. DUPUIS / L. MOREILLON / C. PIGUET / S. BERGER / M. MAZOU / V. RODIGARI (éds), Code pénal - Petit commentaire , 2 e éd., Bâle 2017, n. 2 ad art. 158).</w:t>
      </w:r>
    </w:p>
    <w:p>
      <w:r>
        <w:rPr>
          <w:b/>
        </w:rPr>
        <w:t>E. 3.3</w:t>
      </w:r>
    </w:p>
    <w:p>
      <w:r>
        <w:t>Commet une escroquerie, notamment, celui qui s'est fait confier des valeurs patrimoniales par une tromperie astucieuse (arrêt du Tribunal fédéral 6B_473/2016 du 22 juin 2017 consid. 3.1, in SJ 2018 I 181). Dite tromperie peut porter sur la volonté d'exécuter un contrat (arrêts du Tribunal fédéral 1B_219/2019 du 4 juin 2019 consid. 2.2 et 6B_548/2018 du 30 août 2018 consid. 2.1).</w:t>
      </w:r>
    </w:p>
    <w:p>
      <w:r>
        <w:rPr>
          <w:b/>
        </w:rPr>
        <w:t>E. 3.5</w:t>
      </w:r>
    </w:p>
    <w:p>
      <w:r>
        <w:t>En l'occurrence, l'ordonnance querellée ne contient aucune motivation. Le Ministère public a toutefois fourni quelques explications à ce propos dans ses écrits ultérieurs ainsi que dans ses observations, qui permettent d'en comprendre l'objectif, de sorte qu'il n'y a pas lieu de lui renvoyer la cause au motif d'une violation du droit d'être entendu (cf. ACPR/131/2020 du 18 février 2020). Il n'en demeure pas moins qu'hormis le fait d'avoir présenté le plaignant à son beau-frère deux ans auparavant et avoir établi une attestation plus de dix ans plus tard, l'on ne voit pas à quel titre le recourant aurait participé aux faits reprochés à C______. D______ ne soutient en effet pas dans sa plainte que son concours aurait été nécessaire, et aucun indice concret figurant au dossier ne permet de le supposer, étant précisé que le recourant travaille dans un autre établissement bancaire que celui où les fonds litigieux étaient déposés. En outre, à supposer que le recourant ait confectionné une fausse attestation en vue d'appuyer la position procédurale de C______ dans la procédure civile qui l'opposait au plaignant, un tel document ne constituerait quoi qu'il en soit pas un titre, susceptible de tomber sous le coup de l'art. 251 CP. Il est par conséquent douteux que l'on se trouve en présence de soupçons suffisants de la commission d'une infraction par le recourant, susceptible de justifier le séquestre de ses biens, même à ce stade précoce de la procédure. Le Ministère public ne prétend par ailleurs pas disposer d'éléments lui permettant de penser que les fonds séquestrés constitueraient le produit des infractions dénoncées, pas plus qu'il n'expose les raisons laissant à penser que les conditions du prononcé d'une créance compensatrice seraient réalisées. En toute hypothèse, outre le fait que le montant de CHF 414'000.- séquestré au préjudice du recourant est supérieur aux sommes dont le plaignant allègue qu'elles lui auraient été soustraites illicitement, il est déjà couvert par le séquestre opéré sur le compte ad hoc ouvert par C______. Dans la mesure où il n'est pas prétendu que le recourant aurait pu agir sans le concours de ce dernier - une mise hors de cause de celui-ci pouvant alors conduire à la suppression de tout séquestre -, et où le séquestre pénal n'a pas pour but de réparer le dommage subi par le lésé, les considérations de responsabilité solidaire et de solvabilité individuelle auxquelles s'est référé le Ministère public sont sans pertinence. Il s'ensuit que, dans la mesure où une éventuelle confiscation, voire le prononcé d'une créance compensatrice, demeurent garantis par les mesures en vigueur, le séquestre de la relation bancaire n° 1______ dont le recourant est titulaire auprès de E______ est disproportionné. Faute de remplir les conditions posées par les art. 197 et 263ss CPP, il doit par conséquent être levé.</w:t>
      </w:r>
    </w:p>
    <w:p>
      <w:r>
        <w:rPr>
          <w:b/>
        </w:rPr>
        <w:t>E. 4</w:t>
      </w:r>
    </w:p>
    <w:p>
      <w:r>
        <w:t>Le recours sera, partant, admis sur ce point et l'ordonnance querellée annulée dans cette mesure.</w:t>
      </w:r>
    </w:p>
    <w:p>
      <w:r>
        <w:rPr>
          <w:b/>
        </w:rPr>
        <w:t>E. 5</w:t>
      </w:r>
    </w:p>
    <w:p>
      <w:r>
        <w:t>Le recourant, sollicite le versement d'une indemnité d'un montant minimal de CHF 10'000.- au titre de ses frais d'avocat.</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étant précisé que la Chambre de céans applique un tarif horaire de CHF 450.- ( ACPR/112/2014 du 26 février 2014, renvoyant au tarif " usuel " de CHF 400.- ressortant de la SJ 2012 I 175 ; cf. aussi ACPR/279/2014 du 27 mai 2014, ACPR/21/2014 du 13 janvier 2014, ACPR/442/2012 du 17 octobre 2012) ou de CHF 400.- ( ACPR/282/2014 du 30 mai 2014), notamment si l'avocat concerné avait lui-même calculé sa prétention à ce taux-là ( ACPR/377/2013 du 13 août 2013), ainsi que de CHF 350.- pour un collaborateur ( ACPR/178/2015 du 23 mars 2015).</w:t>
      </w:r>
    </w:p>
    <w:p>
      <w:r>
        <w:rPr>
          <w:b/>
        </w:rPr>
        <w:t>E. 5.2</w:t>
      </w:r>
    </w:p>
    <w:p>
      <w:r>
        <w:t>Dans la mesure où le recourant n'a pas déposé d'état de frais correspondant à l'indemnité requise, celle-ci ne saurait lui être allouée telle quelle. Le mémoire de recours comprend 11 pages, page de garde et de signature comprises, et est accompagné d'un volumineux chargé. La cause ne présente toutefois pas de difficultés juridiques ou factuelles particulières et la production de la plainte pénale pour dénonciation calomnieuse peut être considérée comme sans pertinence pour la solution du litige. La Chambre de céans considère par conséquent qu'une indemnité de CHF 1'800.-, TVA à 7,7% en sus, correspondant à quatre heures d'activité au tarif horaire de CHF 450.-, couvre adéquatement les prestations fournies par l'avocat de l'intéressé et répond aux critères rappelés ci-dessus.</w:t>
      </w:r>
    </w:p>
    <w:p>
      <w:r>
        <w:rPr>
          <w:b/>
        </w:rPr>
        <w:t>E. 6</w:t>
      </w:r>
    </w:p>
    <w:p>
      <w:r>
        <w:t>Compte tenu de l'issue de la procédure, le présent arrêt sera rendu sans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