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P/18399/2015 vom 20. Februar 2017</w:t>
      </w:r>
    </w:p>
    <w:p>
      <w:r>
        <w:t>GE Cour de justice, 2017-02-20, FR</w:t>
      </w:r>
    </w:p>
    <w:p>
      <w:r>
        <w:rPr>
          <w:b/>
        </w:rPr>
        <w:t xml:space="preserve">Quelle: </w:t>
      </w:r>
      <w:r>
        <w:t>https://mcp.opencaselaw.ch/entscheid/ge_gerichte_P_18399_2015</w:t>
      </w:r>
    </w:p>
    <w:p>
      <w:r>
        <w:t>FR: GE_GERICHTE P/18399/2015 du 20 février 2017</w:t>
      </w:r>
    </w:p>
    <w:p>
      <w:r>
        <w:t>IT: GE_GERICHTE P/18399/2015 del 20 febbraio 2017</w:t>
      </w:r>
    </w:p>
    <w:p>
      <w:pPr>
        <w:pStyle w:val="Heading2"/>
      </w:pPr>
      <w:r>
        <w:t>Regeste</w:t>
      </w:r>
    </w:p>
    <w:p>
      <w:r>
        <w:t>DISPOSITIONS PÉNALES DE LA LETR ; FIXATION DE LA PEINE ; PEINE PRIVATIVE DE LIBERTÉ ; PRONOSTIC ; CONCOURS D'INFRACTIONS ; DIRECTIVE 2008/115/CE | LEtr115.1.b; LEtr119.1; CP49.1; CP41.1</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Chambre limite son examen aux violations décrites dans l'acte d'appel (art. 404 al. 1 CPP), sauf en cas de décisions illégales ou inéquitables (art. 404 al. 2 CPP).</w:t>
      </w:r>
    </w:p>
    <w:p>
      <w:r>
        <w:rPr>
          <w:b/>
        </w:rPr>
        <w:t>E. 2</w:t>
      </w:r>
    </w:p>
    <w:p>
      <w:r>
        <w:t>.1.1.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2.1.2. D'après l'art. 49 al. 1 CP, si, en raison d'un ou de plusieurs actes, l'auteur remplit les conditions de plusieurs peines de même genre, le juge le condamne à la peine de l'infraction la plus grave et l'augmente dans une juste proportion. 2.1.3. Bien que la récidive ne constitue plus un motif d'aggravation obligatoire de la peine (art. 67 aCP), les antécédents continuent de jouer un rôle très important dans la fixation de celle-ci (M. NIGGLI / H. WIPRÄCHTIGER (éds) , Basler Kommentar Strafrecht I : Art. 1-110 StGB, Jugendstrafgesetz ,</w:t>
      </w:r>
    </w:p>
    <w:p>
      <w:r>
        <w:rPr>
          <w:b/>
        </w:rPr>
        <w:t>E. 2.2</w:t>
      </w:r>
    </w:p>
    <w:p>
      <w:r>
        <w:t>En l'espèce, la faute de l'appelant est sérieuse dans la mesure où, bien qu'ayant été renvoyé deux fois au Portugal, pays saisi de sa première d'asile, il persiste à revenir et demeurer en Suisse, faisant totalement fi de l'interdiction d'entrée qui lui avait été signifiée le 21 septembre 2013 et qui demeurait valable jusqu'au 7 novembre 2015. A cet égard, il convient de relever que, selon la jurisprudence de la CJUE, reprise par le Tribunal fédéral, la Directive sur le retour ne fait aucunement obstacle à ce que des sanctions pénales soient infligées suivant les règles nationales, dans le respect des droits fondamentaux et, le cas échéant, de la Convention de Genève, à des ressortissants de pays tiers en situation de séjour irrégulier qui entrent de nouveau irrégulièrement sur le territoire d'un Etat membre en violation de l'interdiction d'entrée dont ils font l'objet (affaire Skerdjan Celaj C-290/14 du 1 er octobre 2015). L'appelant a, de même, affiché le mépris le plus complet de l'interdiction de se rendre à Genève, qui lui avait été signifiée le 6 décembre 2014 pour une durée de six mois, en y passant le plus clair de son temps, comportement qui est également réprimé par l'art. 119 al. 1 LEtr (cf AARP/378/2016 ), bien qu'il ne dispose d'aucune attache avec ce canton puisqu'il déclare lui-même que son amie réside à Lausanne. Le concours d'infraction constitue un facteur aggravant et les périodes pénales sont d'une durée significative. Le pronostic futur est incontestablement défavorable dans la mesure où l'appelant s'obstine à vouloir rester en Suisse, où il n'a pourtant aucun avenir, de sorte que l'octroi d'un sursis est exclu, étant encore relevé qu'indépendamment de la question de savoir s'il pourrait ou non rentrer dans son pays d'origine, il n'invoque aucun motif valable l'empêchant de retourner au Portugal et d'y demeurer jusqu'à droit connu sur sa demande d'asile. Pour les motifs déjà exposés, un travail d'intérêt général ne constitue pas une sanction adéquate en l'occurrence et il en va de même d'une peine pécuniaire, puisque, outre le fait qu'il vit dans la clandestinité et n'a aucune source licite de revenu, l'appelant a déjà fait l'objet à deux reprises d'une peine de ce type, sans que cela ne l'ait empêché de récidiver, même les deux dernières peines privatives de liberté de deux mois chacune étant restées sans effet. Compte tenu de ces éléments, seule une nouvelle privation de liberté d'une durée plus conséquente apparaît être de nature à le dissuader de persister dans ses agissement délictueux. La peine de 90 jours prononcée en première instance apparaît ainsi appropriée et doit être, partant, confirmée.</w:t>
      </w:r>
    </w:p>
    <w:p>
      <w:r>
        <w:rPr>
          <w:b/>
        </w:rPr>
        <w:t>E. 3</w:t>
      </w:r>
    </w:p>
    <w:p>
      <w:r>
        <w:t>L'appelant, qui succombe, supportera les frais de la procédure envers l'Etat (art. 428 CPP).</w:t>
      </w:r>
    </w:p>
    <w:p>
      <w:r>
        <w:rPr>
          <w:b/>
        </w:rPr>
        <w:t>E. 4</w:t>
      </w:r>
    </w:p>
    <w:p>
      <w:r>
        <w:t>4.1.1. 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 4.1.2. Selon l'art. 135 al. 1 CPP, le défenseur d'office est indemnisé conformément au tarif des avocats de la Confédération ou du canton du for du procès, le règlement sur l'assistance juridique du 28 juillet 2010 (RAJ ; E 2 05.04) s'appliquant à Genève. Selon l'art. 16 al. 1 RAJ, l'indemnité due à l'avocat et au défenseur d'office en matière pénale est calculée selon le tarif horaire de CHF 65.- pour un avocat stagiaire (let. a) et de CHF 200.- pour un chef d'étude (let. c), débours de l'étude inclus. La TVA est versée en sus si l'intéressé y est assujetti, de même qu'une majoration forfaitaire de 20% jusqu'à 30 heures d'activité consacrée aux conférences, audiences et autres actes de la procédure, pour les démarches diverses, telles que rédaction de courriers, entretiens téléphoniques, prise de connaissance de décisions, etc., et de 10% au-delà.</w:t>
      </w:r>
    </w:p>
    <w:p>
      <w:r>
        <w:rPr>
          <w:b/>
        </w:rPr>
        <w:t>E. 4.2</w:t>
      </w:r>
    </w:p>
    <w:p>
      <w:r>
        <w:t>L'état de frais produit par le défenseur d'office de l'appelant parait adéquat et conforme aux principes applicables en la matière dans la mesure où l'essentiel de l'activité a été accompli par un avocat stagiaire qui a nécessairement besoin de plus de temps qu'un avocat breveté. L'indemnité due à M e B______ sera ainsi fixée à CHF 596.15, correspondant à une heure d'activité au tarif de CHF 200.-/heure et à quatre heures à celui de CHF 65-/heure, plus la majoration forfaitaire de 20% et la TVA à 8%.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