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P/18340/2019 vom 16. September 2022</w:t>
      </w:r>
    </w:p>
    <w:p>
      <w:r>
        <w:t>GE Cour de justice, 2022-09-16, FR</w:t>
      </w:r>
    </w:p>
    <w:p>
      <w:r>
        <w:rPr>
          <w:b/>
        </w:rPr>
        <w:t xml:space="preserve">Quelle: </w:t>
      </w:r>
      <w:r>
        <w:t>https://mcp.opencaselaw.ch/entscheid/ge_gerichte_P_18340_2019</w:t>
      </w:r>
    </w:p>
    <w:p>
      <w:r>
        <w:t>FR: GE_GERICHTE P/18340/2019 du 16 septembre 2022</w:t>
      </w:r>
    </w:p>
    <w:p>
      <w:r>
        <w:t>IT: GE_GERICHTE P/18340/2019 del 16 settembre 2022</w:t>
      </w:r>
    </w:p>
    <w:p>
      <w:pPr>
        <w:pStyle w:val="Heading2"/>
      </w:pPr>
      <w:r>
        <w:t>Regeste</w:t>
      </w:r>
    </w:p>
    <w:p>
      <w:r>
        <w:t>IN DUBIO PRO REO;ÉMOTION;DÉPENS | CP.144.al1; CP.48.letC; CPP.432.al2</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(CEDH), sur le plan interne, par les art. 32 al. 1 de la Constitution fédérale de la Confédération suisse (Cst.) et 10 al. 3 CPP,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lorsque le juge le condamne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w:t>
      </w:r>
    </w:p>
    <w:p>
      <w:r>
        <w:rPr>
          <w:b/>
        </w:rPr>
        <w:t>E. 2.2</w:t>
      </w:r>
    </w:p>
    <w:p>
      <w:r>
        <w:t>Le juge du fait dispose d'un large pouvoir dans l'appréciation des preuves.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120 Ia 31 consid. 4b ; 129 I 8 consid. 2.1 ; arrêt du Tribunal fédéral 6B_324/2017 du 8 mars 2018 consid. 1.1). Les cas de "déclarations contre déclarations",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 arrêt du Tribunal fédéral 6B_59/2021 du 12 novembre 2021 consid. 1.1).</w:t>
      </w:r>
    </w:p>
    <w:p>
      <w:r>
        <w:rPr>
          <w:b/>
        </w:rPr>
        <w:t>E. 3.1</w:t>
      </w:r>
    </w:p>
    <w:p>
      <w:r>
        <w:t>Selon l'art. 144 al. 1 CP, se rend coupable de dommages à la propriété celui qui aura endommagé, détruit ou mis hors d'usage une chose appartenant à autrui ou frappée d'un droit d'usage ou d'usufruit au bénéfice d'autrui.</w:t>
      </w:r>
    </w:p>
    <w:p>
      <w:r>
        <w:rPr>
          <w:b/>
        </w:rPr>
        <w:t>E. 3.2</w:t>
      </w:r>
    </w:p>
    <w:p>
      <w:r>
        <w:t>En l'espèce, il est établi que l'appelant a effectué un freinage d'urgence au sein d'un giratoire pour éviter une collision avec le véhicule de l'intimé. Il a par la suite rattrapé la voiture de ce dernier, qui était arrêté à un feu rouge et discutait avec son épouse, lui a barré la route avec sa moto et est allé discuter avec lui de son comportement, l'insultant alors à plusieurs reprises. Les déclarations des parties varient sur la suite des évènements. L'intimé a dans un premier temps indiqué que l'appelant avait porté plusieurs coups sur sa voiture au niveau du toit et de la portière. Dans un deuxième temps, il n'a évoqué qu'un seul coup. Enfin, il a expliqué que l'appelant avait levé les bras et rabattu les mains sur l'angle du toit et de la portière de son véhicule, qu'il avait ensuite secoué. Le motard avait ainsi causé un enfoncement avec des petits trous, laissant à penser à un coup porté avec des gants renforcés. L'appelant, quant à lui, a indiqué de manière constante, avoir uniquement secoué le véhicule en attrapant le toit avec la paume de ses mains. La Cour observe ainsi que les dernières déclarations de l'intimé se rapprochent de celles de l'appelant, bien que le premier persiste à évoquer un coup porté par le second. Aucun élément objectif au dossier ne permet de corroborer l'une ou l'autre version. Le garagiste consulté par l'intimé a indiqué que les dommages pouvaient avoir été causés par un coup alors que l'expert en carrosserie sollicité par l'appelant a écarté cette hypothèse. Ce dernier s'est certes prononcé sur la base de photos produites par l'appelant, mais son avis repose sur des considérations objectives, à savoir que l'endroit où se trouve l'enfoncement, le montant, est une partie renforcée, extrêmement solide, qu'il n'est pas possible d'endommager par un seul coup de poing, même en portant des gants renforcés. Par ailleurs, force est de constater qu'au moyen des photographies de mauvaise qualité versées au dossier, il n'est pas possible de déterminer la nature exacte des dommages allégués par l'intimé sur son véhicule. Ainsi, la Cour retient qu'il demeure un doute sérieux quant à savoir si l'appelant a causé les dégâts en question, outre que ceux-ci n'ont jamais été constatés par la police ni par un expert d'assurance. L'appelant sera dès lors acquitté de dommages à la propriété au sens de l'art. 144 al. 1 CP.</w:t>
      </w:r>
    </w:p>
    <w:p>
      <w:r>
        <w:rPr>
          <w:b/>
        </w:rPr>
        <w:t>E. 3.3</w:t>
      </w:r>
    </w:p>
    <w:p>
      <w:r>
        <w:t>L'appelant a été reconnu coupable d'injure et de contrainte, ce qui n'est pas contesté.</w:t>
      </w:r>
    </w:p>
    <w:p>
      <w:r>
        <w:rPr>
          <w:b/>
        </w:rPr>
        <w:t>E. 4.1</w:t>
      </w:r>
    </w:p>
    <w:p>
      <w:r>
        <w:t>Conformément à l'art. 181 CP, l'auteur de contrainte est passible d'une peine privative de liberté de trois ans au plus ou d'une peine pécuniaire, tandis que l'auteur d'injure (art. 177 al. 1 CP) l'est d'une peine pécuniaire de 90 jours-amende au plus.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4.2.2.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4.2.3. Conformément à l'art. 34 CP, la peine pécuniaire est de trois jours-amende au moins et ne peut excéder 180 jours-amende, le juge fixant leur nombre en fonction de la culpabilité de l'auteur (al. 1). Un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4.2.4. Selon l'art. 48 let. c CP, le juge atténue la peine si l'auteur a agi en proie à une émotion violente que les circonstances rendaient excusable.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147 IV 249 consid. 2.2 ; ATF 119 IV 202 consid. 2a p. 204 ; arrêt du Tribunal fédéral 6B_443/2020 du 11 juin 2020, consid. 1.2.1). L'état d'émotion violente doit être rendu excusable par les circonstances. Le plus souvent, il est rendu excusable par le comportement blâmable de la victime à l'égard de l'auteur, mais il peut aussi l'être par le comportement d'un tiers ou par des circonstances objectives. N'importe quelles circonstances ne suffisent pas. Il doit s'agir de circonstances dramatiques, dues principalement à des causes échappant à la volonté de l'auteur et qui s'imposent à lui, lequel ne doit pas être responsable ou principalement responsable de la situation conflictuelle qui le provoque. Il doit par ailleurs s'agir de circonstances objectives, de sorte qu'il faut se demander si un tiers raisonnable, placé dans la même situation que l'auteur, se serait trouvé dans le même état. Ce n'est pas l'acte commis qui doit être excusable, mais l'état dans lequel se trouvait l'auteur. Enfin, il faut qu'il existe une certaine proportionnalité entre la provocation, d'une part, et la réaction de l'auteur, d'autre part (ATF 147 IV 249 consid. 2.3 ; ATF 147 IV 249 consid. 2.2 ; arrêt du Tribunal fédéral 6B_443/2020 du 11 juin 2020 consid. 1.2.1). 4.2.5. Aux termes de l'art. 42 al. 1 CP, le juge suspend en règle générale l'exécution d'une peine pécuniaire ou d'une peine privative de liberté de deux ans au plus lorsqu'une peine ferme ne paraît pas nécessaire pour détourner l'auteur d'autres crimes ou délits.</w:t>
      </w:r>
    </w:p>
    <w:p>
      <w:r>
        <w:rPr>
          <w:b/>
        </w:rPr>
        <w:t>E. 4.3</w:t>
      </w:r>
    </w:p>
    <w:p>
      <w:r>
        <w:t>En l'espèce, la faute de l'appelant est d'importance moyenne. Il s'en est pris à la liberté et à l'honneur d'autrui, pour un mobile qui dénote son incapacité à maîtriser sa colère. Sa collaboration a été plutôt bonne, ayant admis dès son audition à la police les faits pour lesquels il a été condamné. Sa prise de conscience est en revanche limitée dans la mesure où il persiste à tenter de justifier ces derniers, allant jusqu'à rejeter la faute sur la partie plaignante. Sa situation personnelle au moment des faits n'explique pas son comportement. Contrairement à ce qu'argue l'appelant, il ne saurait être mis au bénéfice de la circonstance atténuante de l'émotion violente. La Cour ne doute pas que l'intéressé a été en proie à une telle émotion dans le giratoire, lorsqu'il a dû freiner en urgence. Toutefois, comme il l'a expliqué, il lui a fallu un certain temps pour redémarrer sa moto et rejoindre l'endroit où se trouvaient sa compagne et le conducteur incriminé, quelque 800 mètres plus loin. Il a ainsi eu le loisir de recouvrer ses esprits et de se calmer, ce qu'il a confirmé en indiquant avoir " relâché la pression ". Ses déclarations sur son état émotionnel sont d'ailleurs quelque peu confuses puisqu'il a déclaré être " intérieurement bileux " mais maîtriser son verbal, alors même qu'il avait insulté à plusieurs reprises la partie plaignante. Il a en outre affirmé avoir été calme mais énervé par les propos de l'intimé, restant " maître de ses émotions ". Ces éléments excluent donc une émotion violente au moment où l'appelant a rejoint le conducteur et lui a barré la route, ce qui dénote, pour le surplus, un comportement réfléchi. L'absence d'antécédent a un effet neutre sur la fixation de la peine. Il y a concours d'infractions, facteur aggravant de la peine. L'infraction abstraitement la plus grave est celle de contrainte pour laquelle l'appelant encourt une peine de base de 20 jours-amende. Cette peine doit être aggravée de dix jours-amende (peine théorique de 15 jours-amende) pour réprimer l'infraction d'injure. Le montant du jour-amende, fixé par le premier juge à CHF 230.- pour tenir compte de la situation financière de l'appelant, apparaît adéquat. L'appelant sera ainsi condamné à une peine de 30 jours-amende, à CHF 230.- le jour. Le sursis, justifié, est acquis à l'appelant, tout comme le délai d'épreuve de trois ans.</w:t>
      </w:r>
    </w:p>
    <w:p>
      <w:r>
        <w:rPr>
          <w:b/>
        </w:rPr>
        <w:t>E. 5</w:t>
      </w:r>
    </w:p>
    <w:p>
      <w:r>
        <w:t>5.1.1. Au sens de l'art. 428 al. 3 CPP, si l'autorité de recours rend elle-même une nouvelle décision, elle se prononce également sur les frais fixés par l'autorité inférieure. 5.1.2. L'art. 423 al. 1 CPP prévoit qu'en règle générale, sous réserve de dispositions différentes de la loi, les frais d'une procédure pénale sont mis à la charge du canton qui a conduit cette procédure. En dérogation à cette règle générale, les art. 426 et 427 CPP prévoient, à certaines conditions, respectivement l'imputation des frais au prévenu, d'une part, et à la partie plaignante ou au plaignant d'autre part (ATF 143 IV 488 consid. 2.1). Le prévenu supporte les frais de procédure s'il est condamné (art. 426 al. 1 CPP). Lorsque la condamnation n'est que partielle, les frais ne doivent être mis à sa charge que de manière proportionnelle, en considération des frais liés à l'instruction des infractions pour lesquelles un verdict de culpabilité a été prononcé (arrêt du Tribunal fédéral 6B_460/2020 du 10 mars 2021 consid. 10.3.1). 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le prévenu n'est pas astreint au paiement des frais conformément à l'art. 426 al. 2 (let. b). Contrairement à la version française, les versions allemande et italienne opèrent une distinction entre la partie plaignante (" Privatklägerschaft "; " accusatore privato ") et le plaignant (" antragstellende Person "; " querelante ").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La personne qui porte plainte pénale et qui prend part à la procédure comme partie plaignante doit assumer entièrement le risque lié aux frais (ATF 138 IV 248 consid. 4.2.3 ; arrêt du Tribunal fédéral 6B_538/2021 du 8 décembre 2021 consid. 1.1). 5.2.1. En l'espèce, vu l'acquittement prononcé (ndr : un chef d'accusation sur les trois complexes de faits en cause), il se justifie de revoir les frais de première instance et de condamner l'appelant aux deux tiers de ceux-ci, hors émolument complémentaire de jugement, et de mettre à la charge de l'intimé le tiers restant des frais, dans la mesure où l'infraction de dommages à la propriété est poursuivie sur plainte et où l'intimé s'est constitué partie plaignante dans la présente procédure et y a pleinement participé. 5.2.2. En appel, l'appelant a obtenu gain de cause concernant son acquittement de dommages à la propriété, mais pas sur sa conclusion relative à son exemption de peine, subsidiairement la réduction de celle-ci, ni sur ses conclusions accessoires. Il apparaît ainsi équitable de faire supporter à chacune des parties la moitié des frais de la procédure d'appel, l'émolument complémentaire de jugement restant à la charge du seul appelant dans la même proportion.</w:t>
      </w:r>
    </w:p>
    <w:p>
      <w:r>
        <w:rPr>
          <w:b/>
        </w:rPr>
        <w:t>E. 6</w:t>
      </w:r>
    </w:p>
    <w:p>
      <w:r>
        <w:t>6.1. De jurisprudence constante, la répartition des frais de la procédure préjuge du sort de l'indemnisation des dépens. 6.2.1. L'art. 429 al. 1 let. a CPP prévoit que si le prévenu est acquitté totalement ou en partie ou s'il bénéficie d'une ordonnance de classement, il a droit à une indemnité pour les dépenses occasionnées par l'exercice raisonnable de ses droits de procédure. L'autorité pénale amenée à fixer une indemnité sur un tel fondement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 6.2.2. Conformément à l'art. 432 al. 2 CPP, lorsque le prévenu obtient gain de cause sur la question de sa culpabilité et que l'infraction est poursuivie sur plainte, la partie plaignante peut être tenue d'indemniser le prévenu pour les dépenses occasionnées par l'exercice raisonnable de ses droits de procédure. En cas de classement de la procédure ou d'acquittement d'une infraction poursuivie sur plainte, l'indemnisation du prévenu est en principe à la charge de la partie plaignante (ATF 147 IV 47 consid. 4.2.4 ss). Lorsque la partie plaignante ou le plaignant supporte les frais en application de l'art. 427 al. 2 CPP, une éventuelle indemnité allouée au prévenu peut en principe être mise à sa charge en vertu de l'art. 432 al. 2 CPP (arrêt du Tribunal fédéral 6B_108/2018 du 12 juin 2018 consid. 4.1). Par le renvoi de l'art. 436 al. 1 CPP, cette disposition s'applique également à la deuxième instance (arrêts du Tribunal fédéral 6B_1458/2020 du 7 avril 2021 consid. 2.1 ; 6B_1180/2017 du 25 avril 2018 consid. 5.2). 6.2.3. Aux termes de l'art. 433 al. 1 CPP, la partie plaignante peut demander au prévenu une juste indemnité pour les dépenses obligatoires occasionnées par la procédure lorsqu'elle obtient gain de cause (let. a) ou lorsque le prévenu est astreint au paiement des frais conformément à l'art. 426 al. 2 CPP (let. b). Cette indemnité doit être mise à la charge du prévenu, non de l'État ( AARP/291/2021 du 13 septembre 2021 consid. 8.1.3). La partie plaignante a obtenu gain de cause au sens de cette norme lorsque le prévenu a été condamné et/ou si les prétentions civiles ont été admises, à tout le moins partiellement ( AARP/180/2021 du 29 juin 2021 consid. 8.8.1). L'art. 433 CPP est applicable en instance de recours (art. 436 al. 1 CPP). Les prétentions en indemnité dans les procédures de recours doivent être fixées séparément pour chaque phase de la procédure, indépendamment de la procédure de première instance. Le résultat de la procédure de recours est déterminant (ATF 142 IV 163 consid. 3.2.2 ; arrêt du Tribunal fédéral 6B_1360/2016 du 10 novembre 2017 consid. 3.2). 6.3.1. En l'espèce, l'assistance d'un avocat procédait d'un exercice raisonnable des droits de l'appelant. Toutefois, sa défense en première instance ne justifiait raisonnablement pas plus de 13 heures d'activité, soit dix heures consacrées à la prise de connaissance et à l'étude du dossier, aux conférences clients et à la préparation ainsi qu'à la participation aux différentes audiences, et trois heures consacrées aux communications diverses. La nature juridique simple de la cause ne nécessitait en effet pas un nombre aussi important d'échanges de mails, dont on ne connaît d'ailleurs pas la nature, ni de recherches juridiques particulières de la part d'un avocat breveté. En conséquence, une indemnité de CHF 1'867.- (un tiers de 13 heures x CHF 400.- + CHF 400.- de TVA) sera allouée à l'appelant pour ses frais de défense en première instance, à charge de l'intimé. 6.3.2. Les prétentions en indemnisation pour la procédure préliminaire et de première instance de la partie plaignante seront admises à hauteur des deux tiers de ses conclusions, soit pour un montant de CHF 2'629.50, l'activité déployée paraissant justifiée au regard du dossier, à charge de l'appelant. 6.3.3. En ce qui concerne la procédure d'appel, au regard de la répartition des frais opérée ci-dessus ( cf . consid. 5.2.2), chaque partie devrait supporter la moitié des dépenses occasionnées par la procédure de l'autre partie et la moitié de ses propres dépenses. La situation justifie toutefois que la CPAR renonce à condamner chaque partie à supporter la moitié des frais de l'autre, laissant ainsi à chacune le soin de supporter l'intégralité de ses dépens. Les conclusions des parties en indemnisation seront dès lors rejetées.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