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P/18330/2010 vom 4. April 2014</w:t>
      </w:r>
    </w:p>
    <w:p>
      <w:r>
        <w:t>GE Cour de justice, 2014-04-04, FR</w:t>
      </w:r>
    </w:p>
    <w:p>
      <w:r>
        <w:rPr>
          <w:b/>
        </w:rPr>
        <w:t xml:space="preserve">Quelle: </w:t>
      </w:r>
      <w:r>
        <w:t>https://mcp.opencaselaw.ch/entscheid/ge_gerichte_P_18330_2010</w:t>
      </w:r>
    </w:p>
    <w:p>
      <w:r>
        <w:t>FR: GE_GERICHTE P/18330/2010 du 4 avril 2014</w:t>
      </w:r>
    </w:p>
    <w:p>
      <w:r>
        <w:t>IT: GE_GERICHTE P/18330/2010 del 4 aprile 2014</w:t>
      </w:r>
    </w:p>
    <w:p>
      <w:pPr>
        <w:pStyle w:val="Heading2"/>
      </w:pPr>
      <w:r>
        <w:t>Regeste</w:t>
      </w:r>
    </w:p>
    <w:p>
      <w:r>
        <w:t>ADMINISTRATION DES PREUVES; SURVEILLANCE(EN GÉNÉRAL); INFRACTIONS CONTRE LA VIE ET L'INTÉGRITÉ CORPORELLE; LÉSION CORPORELLE; CAUSE LÉGITIME; LÉGITIME DÉFENSE; AUTORITÉ; ABUS DE POUVOIR; FIXATION DE LA PEINE | CP.123.2.2; CPP.141; CP.312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 Message relatif à l'unification du droit de la procédure pénale (CPP) du 21 décembre 2005, FF 2006 1163).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(ATF 131 272 consid. 4.1.2 p. 279 ; 137 I 218 consid. 2.3.4 p. 223 ; arrêts du Tribunal fédéral 6B_323/2013 du 3 juin 2013 consid. 3.5 ; 6B_490/2013 du 14 octobre 2013 consid. 2.4). Aux termes de l'art. 141 al. 4 CPP, si un moyen de preuve est recueilli grâce à une preuve non exploitable au sens de l'art. 141 al. 2 CPP, il n'est pas exploitable lorsqu'il n'aurait pas pu être recueilli sans l'administration de la première preuve.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p. 173 ; arrêt du Tribunal fédéral 6B_640/2012 du 10 mai 2013 consid. 2.1). 2.1.2.1 Selon l'art. 42 al 3 et 4 LIPAD, les responsables des institutions prennent les mesures organisationnelles et techniques appropriées afin de limiter le visionnement des données, enregistrées ou non, à un cercle restreint de personnes dûment autorisées, dont la liste doit être régulièrement tenue à jour et communiquée au préposé cantonal, la communication à des tiers pouvant néanmoins avoir lieu s’il s’agit de renseigner les instances hiérarchiques supérieures dont l’institution dépend ou les autorités judiciaires, notamment aux fins de dénoncer une infraction pénale dont la vidéosurveillance aurait révélé la commission. En outre, l'art. 64 al. 1 LIPAD sanctionne d'une amende, sans préjudice de peines plus sévères consacrées par le droit fédéral, le fait de traiter des données personnelles à des fins étrangères à l'accomplissement de tâches légales confiées. 2.1.2.2 L'ordre de service B 9 de la prison de Champ-Dollon tel qu'en vigueur au moment des faits prescrivait notamment en son point 3 que : - seuls les membres de la direction étaient compétents pour décider de la nécessité de visualiser des enregistrements, cette compétence pouvant être déléguée, sous réserve du point 3.3 (point 3.1) ; - les enregistrements étaient effacés automatiquement après 48 heures, sauf décision d'un membre de la direction de conserver des images aux fins d'enquête ultérieure si les événements le justifiaient (point 3.2) ; - le visionnement d'images mettant en cause le personnel de la prison ne pouvait avoir lieu qu'ensuite d'un événement grave, et ce exclusivement et impérativement en présence du collaborateur concerné, de son supérieur hiérarchique ou du Sous-chef du jour et d'un membre de la Commission du personnel ou d'un représentant de l'Union du personnel du Corps de police (point 3.3) ; - la direction de l'Office pénitentiaire peut également visionner tout enregistrement ensuite d'événements graves, les conditions décrites précédemment étant applicables (point 3.4). 2.1.3 Selon la jurisprudence, le législateur a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 ; ACPR/109/2014 du 26 février 2014 consid. 3.4). Toutefois, le Tribunal fédéral a également réaffirmé que le principe de la bonne foi en procédure oblige celui qui constate un vice affectant le déroulement de celle-ci à le signaler aussitôt, sans attendre l'issue de la procédure (tout récemment, arrêt 6B_1066/2013 du 27 février 2014 consid. 3.2). 2.2.1 L'arrêt de la CPR écartant l'argumentation de l'appelant concernant l'illicéité des images de vidéosurveillance a été rendu suite au recours contre l'ordonnance de classement de la plainte de l'appelant à l'encontre d'A______. Au plan formel, cette décision ne saurait lier le juge du fond appelé à connaître, certes dans le même contexte de faits, non pas des actes reprochés au détenu mais bien à l'appelant, ne serait-ce que parce qu'il doit appliquer d'autres notions, notamment celle de la présomption d'innocence en faveur de ce dernier. Le premier juge aurait donc dû examiner l'argumentation soulevée devant lui, plutôt que de se contenter de renvoyer au précédent de la CPR. 2.2.2 Ceci étant, on ne peut que partager l'opinion de ladite instance selon laquelle la contestation de la légalité du moyen de preuve émise pour la première fois le 5 juillet 2012, à la veille du prononcé de l'ordonnance de clôture, alors que cette pièce figurait au dossier depuis le mois de novembre 2010, que son contenu avait été largement instruit et que la question de l'existence d'autres images avait été discutée au printemps suivant, est manifestement tardive et ne saurait être admise, en application du principe de la bonne foi. 2.2.3 Au demeurant, l'argument est également infondé. En effet les dispositions légales et réglementaires dont se prévaut l'appelant, et qui tendent à la sauvegarde de ses droits de la personnalité, voire, pour certaines, de son droit d'être entendu avant que des faits ne soient dénoncés par la direction de la prison devant les autorités pénales ou administratives, concernent les conditions de visionnement des images et non de leur enregistrement. L'éventuelle violation desdites dispositions pourrait avoir diverses conséquences, notamment ouvrir la voie à une réparation du préjudice subi, mais n'implique pas que les images elles-mêmes, valablement enregistrées mais par hypothèse indûment visionnées, en deviendraient illicites. Le fait que toutes les images n'ont pas été sauvegardées n'entraîne pas non plus une telle conséquence. D'une part, la disparition d'autres prises de vues n'altère pas celles conservées. D'autre part, il appartiendra à la CPAR de tenir compte de ce qu'elle ne dispose pas de toutes les images dans le cadre de l'appréciation des preuves. Enfin, l'absence de sauvegarde des autres images ne viole pas la saisie ordonnée par le MP, celle-ci étant postérieure.</w:t>
      </w:r>
    </w:p>
    <w:p>
      <w:r>
        <w:rPr>
          <w:b/>
        </w:rPr>
        <w:t>E. 2.3</w:t>
      </w:r>
    </w:p>
    <w:p>
      <w:r>
        <w:t>En conclusion, la question préjudicielle tendant à ce que ces images, et toutes pièces y relatives, procès-verbaux compris, soient écartées de la procédure, doit être rejeté.</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3.2</w:t>
      </w:r>
    </w:p>
    <w:p>
      <w:r>
        <w:t>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3.3.1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le prévenu pour justifier la licéité de ses actes apparaît crédible et plausible eu égard à l’ensemble des circonstances (G. PIQUEREZ, Traité de procédure pénale suisse , 2 e éd., 2006, n. 702, p. 443). 3.3.2 Conformément à l'art. 14 CP, celui qui agit comme la loi l'ordonne ou l'autorise se comporte de manière licite, même si l'acte est interdit par le code pénal ou par une autre loi.L'exercice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On ne voit ainsi pas, par exemple, qu'une norme particulière écrite ou non écrite légitimerait de manière générale le responsable ou d'autres employés de la sécurité d'un établissement public à user de violence et à frapper un client, fût-il importun ou indésirable (arrêt du Tribunal fédéral 6B_255/2007 du 11 octobre 2007 consid. 4.2). 3.3.3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 /84).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83 ).</w:t>
      </w:r>
    </w:p>
    <w:p>
      <w:r>
        <w:rPr>
          <w:b/>
        </w:rPr>
        <w:t>E. 3.4</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3.5.1 A teneur du dossier, il n'y a aucun motif de remettre en cause les affirmations de l'appelant selon lesquelles A______ avait eu un comportement incorrect le jour des faits, étant agité, ayant été refoulé de l'aile nord-centre où il avait tenté de se rendre alors qu'il était censé regagner sa propre cellule, puis déambulant dans le hall central d'où il avait insulté et menacé le gardien chef lequel, depuis son bureau, lui avait fait signe de prendre la direction de l'aile nord-nord. Cette attitude a en effet été décrite par les gardiens entendus au cours de l'enquête administrative et par le MP, est cohérente avec les images au dossier et n'a rien d'insolite eu égard à la personnalité de l'intéressé. 3.5.2 Pour autant, tant un premier visionnement desdites images, que plusieurs réexamens attentifs répétés, en continu et en interrompant le défilement, pour éviter tout risque d'erreur, montrent que l'appelant est sorti du bureau, s'est dirigé vers A______ et l'a frappé, au niveau du visage. Certes, le contact entre la main de l'appelant et le détenu n'est pas visible mais, d'une part, le mouvement réflexe de recul d'A______ ne s'explique que par un choc d'une certaine violence et, d'autre part, vu son orientation vers le visage du détenu, l'absence de distance et sa rapidité, le geste du bras de l'appelant n'est guère compatible avec un mouvement tendant à montrer la direction à prendre, fût-ce avec autorité, alors qu'il l'est totalement avec une action visant à asséner un coup. Ce geste doit aussi être interprété à la lumière de l'attitude adoptée aussitôt après par l'appelant. En effet, alors que le détenu continuait de ne pas réagir, à tout le moins physiquement, le gardien l'a encore frappé à au moins deux reprises avant qu'A______ ne passe à la contre-attaque. Bien que de médiocre qualité, les images versées à la procédure sont suffisamment claires pour que l'on puisse exclure que celles prises par l'une des autres caméras mais non sauvegardées aient pu donner une clef de lecture différente. L'emploi du pluriel dans la décision sanctionnant A______ qui évoque le visionnement "des caméras" n'a pas la portée que l'appelant veut lui donner, les termes employés étant des plus maladroits dans la mesure où ce ne sont pas les caméras qui ont été visionnées, mais bien les images enregistrées par l'une ou plusieurs d'entre elles. L'appelant ne semble d'ailleurs pas réellement croire lui-même que des images valant preuve à décharge n'auraient, volontairement, pas été sauvegardées ; à défaut, il n'aurait pas manqué de dénoncer devant les instances compétentes un tel acte de malveillance. De surcroît, le positionnement des caméras et les échantillons fournis par la direction de la prison confirment que la caméra dont les images ont été sauvegardées était celle bénéficiant du meilleur champ. Certes encore, le déroulement des événements par le témoin B______ diverge mais ce récit doit être écarté, tant il est incompatible avec la preuve matérielle que constituent les images de vidéo surveillance, nonobstant leur qualité médiocre. A cela s'ajoute que la crédibilité de ce témoignage est en tout état faible, vu les invraisemblances dont il est émaillé, notamment s'agissant des propos que le témoin affirme avoir pu entendre à travers la porte PSQ fermée ou des motifs qui l'ont conduite à se saisir d'un linge. Confrontés auxdites images, les états de service corrects de l'appelant ne constituent pas non plus une preuve à décharge suffisante. 3.5.3 L'appelant ne conteste plus qu'A______ a saigné après qu'il l'eut touché au visage, circonstance qui se déduit également des témoignages des autres gardiens sur la présence de sang au sol lors de leur intervention alors que le détenu n'était pas encore tombé et semble expliquer le comportement de l'appointée B______ qui s'est saisie d'un linge et l'a agité en direction du visage du détenu plutôt que d'assister immédiatement son collègue pratiquant la prise. Selon le Dr N______, une fracture du nez est compatible avec un coup de poing, ce qui relève d'ailleurs de l'expérience générale de la vie, même en l'absence de connaissances médicales, plus particulièrement encore en milieu carcéral. S'il résulte indubitablement du récit des gardiens que la maîtrise physique d'A______, puis sa conduite en cellule forte et son déshabillage forcé ont été difficiles, ce dernier se débattant avec vigueur, il en découle également que celui-ci n'a pas pu se blesser de la sorte lors de cette deuxième partie des événements, étant notamment rappelé qu'un seul gardien, au demeurant entendu tardivement, a évoqué une chute mais a ajouté ne pas avoir constaté de blessure. L'hypothèse, retenue par l'enquêteur, selon laquelle la fracture serait intervenue lors de la clef de bras, n'est guère plausible, vu les compétences de moniteur TTI de l'appelant et celui-ci n'ayant jamais soutenu avoir senti sa prise dévier vers le visage d'A______. Il a d'ailleurs pour sa part écarté cette hypothèse, qui est en outre peu plausible vu la présence d'un seul hématome en monocle, aux dires du Dr N______. Au demeurant, même dans ce cas, l'appelant ne pourrait soutenir avoir agi dans le cadre de l'exercice de sa charge ou se prévaloir de la légitime défense, pour les motifs qui seront développés ci-après. 3.5.4 Il est ainsi établi que l'appelant a causé des lésions corporelles à un détenu. Clairement, celui-là ne peut se prévaloir d'un motif justificatif, le comportement d'A______, avant que le gardien chef ne sorte de son bureau, aussi incorrect fût-il, ne nécessitant nullement une intervention brutale. L'explication selon laquelle l'appelant serait intervenu de crainte que le détenu ne se saisisse d'un set d'arrivée n'est pas crédible. En effet, cette explication n'a été donnée que tardivement, le danger allégué n'était en tout cas pas tel qu'il aurait justifié des coups et on peut supposer que les sets en question ne constituent en réalité pas un danger, pour être stockés en un endroit où il sont aisément accessibles aux détenus, qui plus est à plusieurs détenus simultanément, s'agissant d'un hall traversé notamment à l'occasion du retour de la promenade. Il est possible que le premier coup de poing soit intervenu quasi simultanément avec un crachat d'A______, mais une telle réponse – à supposer qu'il se soit bien agi d'une réaction, soit que le crachat ait été perçu par l'appelant avant que le coup ne parte – demeurerait totalement disproportionnée et excèderait par conséquent les limites des prérogatives d'un gardien de prison. Quant à la légitime défense, un crachat ne saurait être qualifié d'attaque imminente. Conformément au principe venire contra factum proprium non valet , l'appelant ne saurait pas davantage se prévaloir des art. 14 et 15 CP dans l'hypothèse, du reste écartée, où la fracture du nez aurait été occasionnée lors de la clef de bras, dès lors que ce sont les coups qu'il a assénés sans droit au détenu qui ont provoqué la réaction violente de ce dernier et par conséquent la nécessité de le maîtriser. 3.5.5 Le jugement dont est appel doit donc être confirmé en ce qu'il reconnaît l'appelant coupable de lésions corporelles simples.</w:t>
      </w:r>
    </w:p>
    <w:p>
      <w:r>
        <w:rPr>
          <w:b/>
        </w:rPr>
        <w:t>E. 3.6</w:t>
      </w:r>
    </w:p>
    <w:p>
      <w:r>
        <w:t>Il en va de même du verdict de culpabilité du chef d'abus d'autorité, le comportement de l'appelant étant clairement constitutif d'abus de son pouvoir de gardien de prison à l'encontre d'un détenu, fût-il récalcitrant, incorrect ou menaçant, et nuisible à ce dernier. À juste titre, l'appelant l'admet implicitement, des lors qu'il conteste les faits reprochés mais non leur qualification juridique.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4.1.2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4.2.1 La faute de l'appelant est sérieuse, celui-ci ayant frappé à plusieurs reprises un détenu et lui ayant causé une lésion d'une certaine importante, en violation des devoirs les plus élémentaires de sa charge de gardien de prison, outre l'interdiction générale consacrée par l'art. 123 CP. Il y a concours d'infractions. Certes, l'attitude de la victime était-elle insultante et menaçante verbalement mais cela n'a malheureusement rien d'insolite en milieu carcéral et il appartenait à l'appelant de résister à une telle provocation. L'appelant ayant cédé à une pulsion violente, le mobile doit être qualifié d'égoïste. La collaboration de l'appelant ne peut être qualifiée de bonne, celui-ci ayant nié les faits. A décharge il faut cependant tenir compte du fait que les gardiens de prison travaillent notoirement à Genève, depuis plusieurs années, dans des conditions difficiles, source de conflits avec les détenus et de stress, ce qui les rend plus vulnérables au risque de perte de maîtrise. L'appelant peut par ailleurs se vanter d'une longue carrière, à peine entachée de deux sanctions disciplinaires, anciennes, et étant apprécié de la plupart de ses collègues. Il n'a aucun antécédent judiciaire et sa situation personnelle est favorable. Au regard de ces circonstances, la peine pécuniaire de 90 jours prononcée par le premier juge est adéquate. L'appelant ne doit à tout le moins pas la considérer choquante, n'ayant formulé aucun commentaire sur la quotité de la peine. 4.2.2 De même, le montant de CHF 120.–/jour est proportionné à la situation financière de l'appelant, lequel ne soutient pas le contraire. 4.2.3 Le jugement sera donc confirmé sur ces points également, la question du sursis n'ayant pas à être abordée, faute d'appel ou d'appel joint du MP.</w:t>
      </w:r>
    </w:p>
    <w:p>
      <w:r>
        <w:rPr>
          <w:b/>
        </w:rPr>
        <w:t>E. 5</w:t>
      </w:r>
    </w:p>
    <w:p>
      <w:r>
        <w:t>L'appelant, qui succombe, supportera les frais de la procédure envers l'État (art. 428 CPP), comprenant un émolument de CHF 1'500.– (art. 14 règlement fixant le tarif des frais en matière pénale du 22 décembre 2010 [RTFMP ; RS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