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P/18320/2013 vom 23. März 2015</w:t>
      </w:r>
    </w:p>
    <w:p>
      <w:r>
        <w:t>GE Cour de justice, 2015-03-23, FR</w:t>
      </w:r>
    </w:p>
    <w:p>
      <w:r>
        <w:rPr>
          <w:b/>
        </w:rPr>
        <w:t xml:space="preserve">Quelle: </w:t>
      </w:r>
      <w:r>
        <w:t>https://mcp.opencaselaw.ch/entscheid/ge_gerichte_P_18320_2013</w:t>
      </w:r>
    </w:p>
    <w:p>
      <w:r>
        <w:t>FR: GE_GERICHTE P/18320/2013 du 23 mars 2015</w:t>
      </w:r>
    </w:p>
    <w:p>
      <w:r>
        <w:t>IT: GE_GERICHTE P/18320/2013 del 23 marzo 2015</w:t>
      </w:r>
    </w:p>
    <w:p>
      <w:pPr>
        <w:pStyle w:val="Heading2"/>
      </w:pPr>
      <w:r>
        <w:t>Regeste</w:t>
      </w:r>
    </w:p>
    <w:p>
      <w:r>
        <w:t>MESURE(DROIT PÉNAL); DÉFENSE D'OFFICE; FRAIS DE LA PROCÉDURE | CP.56.3; CP.59.2; CP.59.3</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En l'espèce, il s'agit uniquement de déterminer si l'appelante doit être soumise à un traitement thérapeutique institutionnel s'effectuant en milieu ouvert ou fermé.</w:t>
      </w:r>
    </w:p>
    <w:p>
      <w:r>
        <w:rPr>
          <w:b/>
        </w:rPr>
        <w:t>E. 2</w:t>
      </w:r>
    </w:p>
    <w:p>
      <w:r>
        <w:t>2.1.1. Pour ordonner 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A cet égard, les rapports de thérapeutes ne suffisent pas (ATF 134 IV 246 , consid. 4.3). Le juge n'est en principe pas lié par les conclusions d'une expertise judiciaire ; toutefois, s'il entend s'en écarter, il doit motiver sa décision et ne saurait sans motifs sérieux substituer son opinion à celle de l'expert (ATF 119 Ib 254 consid. 8a p. 274 ; 118 Ia 144 consid. 1c ; 107 IV 7 consid. 5 ; 102 IV 225 consid. 7b ; 101 IV 129 consid. 3a et les références citées ; voir aussi ATF 125 V 353 consid. 3b/bb ; 122 V 157 consid. 1c p. 161). En d'autres termes, le juge qui ne suit pas les conclusions de l'expert n'enfreint pas l'art. 9 de la Constitution fédérale de la Confédération suisse du 18 avril 1999 (Cst. ; RS 101) lorsque des circonstances bien établies viennent en ébranler sérieusement la crédibilité (ATF 129 I 49 consid. 4 p. 57/58 ; 128 I 81 consid. 2 p. 86 ; 122 V 157 consid. 1c p. 160). Tel est notamment le cas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p. 56 ; 101 Ib 405 consid. 3b/aa p. 408 ; 101 IV 129 consid. 3a in fine p. 130). Cela étant, ce n'est pas à l'expert, mais bien au juge qu'il incombe de résoudre les questions juridiques qui se posent dans le complexe de faits faisant l'objet de l'expertise (ATF 118 Ia 144 consid. 1c ; 113 II 190 consid. II/1a p. 201 ; 111 II 72 consid. 3d p. 75 en bas). Si les conclusions d'une expertise judiciaire lui apparaissent douteuses sur des points essentiels, il doit recueillir des preuves complémentaires pour tenter de dissiper ses hésitations (ATF 118 Ia 144 consid. 1c p. 146). A défaut, en se fondant sur une expertise non concluante, il pourrait commettre une appréciation arbitraire des preuves et violer l'art. 9 Cst. (ATF 118 Ia 144 consid. 1c p. 146). 2.1.2. Toute sanction pénale qui restreint un droit fondamental doit respecter le principe de proportionnalité (art. 36 al. 3 Cst.). En matière de mesure, ce principe a été concrétisé à l'art. 56 al. 2 CP. Aux termes de cette disposition, le prononcé d'une mesure suppose que l'atteinte aux droits de la personnalité qui en résulte pour l'auteur ne soit pas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prévenir et l'importance de l'atteinte aux droits de la personne concernée inhérente à la mesure. Cette atteinte dépend non seulement de la durée de la mesure, mais également des modalités de son exécution et des effets positifs de la mesure dans l'intérêt de l'auteur (arrêts du Tribunal fédéral 6B_1160/2013 du 20 février 2014 consid. 3.1.5 et 6B_517/2013 du 19 juillet 2013 consid. 1.4.3). Plus grave est l'infraction que la personne soumise à la mesure pourrait commettre en liberté, moins il est besoin que le risque soit important pour justifier une mesure privative de liberté. Plus la durée de la mesure – et avec elle la privation de liberté de la personne concernée – est longue, plus strictes seront les exigences quant au respect du principe de proportionnalité. Le poids devenant plus important accordé au droit à la liberté se heurte toutefois à la limite lorsqu'il apparaît inadmissible, au vu de la nature et de l'importance du danger menaçant les biens juridiques des particuliers et de la collectivité, de libérer conditionnellement la personne soumise à la mesure, respectivement de lever cette dernière (arrêts du Tribunal fédéral 6B_1160/2013 du 20 février 2014 précité, 6B_826/2013 du 12 décembre 2013 consid. 2.8.1 et 6B_109/2013 du 19 juillet 2013 consid. 4.4). 2.1.3. Lorsque l'auteur souffre d'un grave trouble mental, le juge peut ordonner un traitement thérapeutique institutionnel selon l'art. 59 CP, lorsque l'auteur a commis un crime ou un délit en relation avec ce trouble (let. a) et qu'il est à prévoir que cette mesure le détournera de nouvelles infractions en relation avec ce trouble (let. b). Le prononcé d'un traitement thérapeutique institutionnel est ainsi subordonné à deux conditions, à savoir l'existence d'un grave trouble mental en relation avec l'infraction commise et l'adéquation de la mesure. En règle générale, le traitement institutionnel s'effectue dans un établissement psychiatrique approprié ou dans un établissement d'exécution des mesures (art. 59 al. 2 CP). La mesure thérapeutique de l'art. 59 CP vise avant tout "un impact thérapeutique dynamique", et donc à une amélioration du pronostic légal, et non la "simple administration statique et conservatoire" des soins (ATF 134 IV 315 consid. 3.6 p. 323 ss ; arrêt du Tribunal fédéral 6B_778/2013 du 10 février 2014 consid. 2.4.1). Toutefois, il sera rappelé que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(ATF 137 IV 201 consid. 1.3 p. 204 ; arrêt du Tribunal fédéral 6B_778/2013 du 10 février 2014 consid. 2.4.1). 2.1.4. L'art. 59 al. 3 CP prévoit que, tant qu'il existe un risque de fuite ou de récidive, le traitement doit être exécuté dans un établissement fermé ; il peut aussi être effectué dans un établissement pénitentiaire au sens de l'art. 76 al. 2 CP, dans la mesure où le traitement thérapeutique nécessaire est assuré par du personnel qualifié (art. 59 al. 3 2 e phrase CP).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Il est clair que le risque de fuite devra être lié à la peur que le condamné puisse représenter une menace envers les tiers une fois en liberté. Il s'agit ici de la dangerosité externe du prévenu (arrêts du Tribunal fédéral 6B_1045/2013 du 14 avril 2014 consid. 2.1.1, 6B_384/2010 du 15 septembre 2010 consid. 2.1.2 et 6B_629/2009 du 21 décembre 2009 consid. 1.2.2.2). Le risque de récidive doit être concret et hautement probable, c'est-à-dire résulter de l'appréciation d'une série de circonstances. Il vise cette fois la dangerosité interne du prévenu. Au regard du principe de la proportionnalité, le placement dans un établissement fermé ne peut être ordonné que lorsque le comportement ou l'état du condamné représente une grave mise en danger pour la sécurité et l'ordre dans l'établissement (arrêts du Tribunal fédéral 6B_1045/2013 précité, 6B_205/2012 du 27 juillet 2012 consid. 3.2.2, 6B_384/2010 précité et 6B_629/2009 précité).</w:t>
      </w:r>
    </w:p>
    <w:p>
      <w:r>
        <w:rPr>
          <w:b/>
        </w:rPr>
        <w:t>E. 2.2</w:t>
      </w:r>
    </w:p>
    <w:p>
      <w:r>
        <w:t>En l'espèce, il ressort de l'expertise qu'il existe un risque de récidive très élevé pour des actes hétéro-agressifs du même ordre, qui est à mettre en relation avec le grave trouble mental chronique sous forme de schizophrénie hébéphrénique, dont souffre l'appelante. L'expert préconise en conséquence une mesure thérapeutique en milieu fermé, à même de limiter le risque de fugue et de permettre la mise en place d'un traitement psychiatrique au long cours adapté à la psychopathologie de l'expertisée. S'il est vrai que l'expert est d'avis que, lorsqu'il entrera réellement en fonction, Curabilis constituera un établissement plus approprié à la situation de l'appelante, car comportant un traitement visant également à pouvoir la resocialiser et lui permettre de réinvestir des activités ayant une résonance thérapeutique, il n'en demeure pas moins qu'il parvient tout aussi clairement à la conclusion que Champ-Dollon constitue un établissement adapté, puisque pourvu d'un service de médecine pénitentiaire, comportant une unité spécialisée en santé mentale et en psychiatrie, à même de prodiguer à l'intéressée non seulement le traitement médicamenteux, mais aussi les soins psychiatriques nécessités par son état. Dans l'attente d'un transfert à Curabilis, l'appelante bénéficie ainsi déjà d'un traitement médical adéquat au sein de la prison qui pourra être accompagné d'un suivi psychothérapeutique, notamment lorsque la mesure sera entrée en force, devant permettre l'amélioration de son état et tendre, à terme, à sa réinsertion dans la société, ce qui est conforme aux exigences de l'art. 59 al. 3 2 e phrase CP. En outre, en tant que de besoin, par exemple en cas de décompensation psychique, elle peut être transférée à l'Unité Carcérale Psychiatrique, comme ce fut notamment le cas le 6 mai 2014. Il n'y a, ainsi, aucune raison de s'écarter des conclusions de l'expert, le risque de fuite et donc de rupture de soins étant actuellement beaucoup trop élevé pour envisager un traitement thérapeutique institutionnel en milieu ouvert, compte tenu aussi du danger que l'appelante représente pour autrui lorsqu'elle ne reçoit plus le traitement injectable de neuroleptiques qui lui est prodigué. L'appel doit par conséquent être rejeté.</w:t>
      </w:r>
    </w:p>
    <w:p>
      <w:r>
        <w:rPr>
          <w:b/>
        </w:rPr>
        <w:t>E. 3</w:t>
      </w:r>
    </w:p>
    <w:p>
      <w:r>
        <w:t>Les motifs ayant conduit les premiers juges à prononcer, par ordonnance séparée du 9 septembre 2014, le maintien de l'appelante, en détention pour des motifs de sûreté sont toujours d'actualité, ce que celle-ci ne conteste au demeurant pas, de sorte que la mesure sera reconduite mutatis mutandis (ATF 139 IV 277 consid. 2.2 à 2.3).</w:t>
      </w:r>
    </w:p>
    <w:p>
      <w:r>
        <w:rPr>
          <w:b/>
        </w:rPr>
        <w:t>E. 4</w:t>
      </w:r>
    </w:p>
    <w:p>
      <w:r>
        <w:t>L'appelante, qui succombe, supportera les frais de la procédure (art. 428 CPP).</w:t>
      </w:r>
    </w:p>
    <w:p>
      <w:r>
        <w:rPr>
          <w:b/>
        </w:rPr>
        <w:t>E. 5</w:t>
      </w:r>
    </w:p>
    <w:p>
      <w:r>
        <w:t>.1.1.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À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5.1.2. Par arrêt du 6 novembre 2014 dans les causes BB.2014.26 et BB.2014.136-137,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CPP que pour taxer l'activité postérieure à sa saisine.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w:t>
      </w:r>
    </w:p>
    <w:p>
      <w:r>
        <w:rPr>
          <w:b/>
        </w:rPr>
        <w:t>E. 5.2</w:t>
      </w:r>
    </w:p>
    <w:p>
      <w:r>
        <w:t>En l'espèce, la note d'honoraires du conseil de l'appelante comporte 11 heures 45 d'activité postérieure à la saisine de la CPAR le 7 octobre 2014, temps qui comprend, en sus de quatre conférences avec la cliente à la prison de Champ-Dollon de 90 minutes chacune, 50 minutes pour "examen des motivations du jugement" qui s'ajoutent aux 120 minutes facturées le 9 septembre 2014 pour "examen du p-v d'audience, du dispositif du jugement et (...) des opportunités d'appel", 45 minutes pour la "rédaction de la déclaration d'appel et recherches juridiques" et 250 minutes pour la "rédaction des motivations de l'appel et recherches juridiques". Il convient de ramener ces trois postes à un total de 4 heures, puisque le premier est par trop élevé, l'examen des motivations du jugement se recoupant en grande partie avec le temps consacré à celui des "opportunités d'appel", que les recherches juridiques n'ont pas à être prises en considération et que la rédaction de la déclaration d'appel est une prestation incluse dans l'indemnisation forfaitaire, car n'ayant pas à être motivée au-delà de la prise de conclusions. Enfin, l'estimation de l'activité postérieure à l'arrêt de la CPAR excède le cadre de la présente indemnisation. Par conséquent, l'état de frais du conseil de l'appelante est admis à concurrence de 10 heures d'activité de chef d'étude, auxquelles s'ajoutent l'indemnisation forfaitaire de 10%, compte tenu de l'activité également déployée en première instance, de sorte que l'indemnisation requise sera accordée à hauteur de CHF 2'200.-, TVA à 8% en sus (CHF 176.-).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