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P/182/2019 vom 12. Juni 2019</w:t>
      </w:r>
    </w:p>
    <w:p>
      <w:r>
        <w:t>GE Cour de justice, 2019-06-12, FR</w:t>
      </w:r>
    </w:p>
    <w:p>
      <w:r>
        <w:rPr>
          <w:b/>
        </w:rPr>
        <w:t xml:space="preserve">Quelle: </w:t>
      </w:r>
      <w:r>
        <w:t>https://mcp.opencaselaw.ch/entscheid/ge_gerichte_P_182_2019</w:t>
      </w:r>
    </w:p>
    <w:p>
      <w:r>
        <w:t>FR: GE_GERICHTE P/182/2019 du 12 juin 2019</w:t>
      </w:r>
    </w:p>
    <w:p>
      <w:r>
        <w:t>IT: GE_GERICHTE P/182/2019 del 12 giugno 2019</w:t>
      </w:r>
    </w:p>
    <w:p>
      <w:pPr>
        <w:pStyle w:val="Heading2"/>
      </w:pPr>
      <w:r>
        <w:t>Regeste</w:t>
      </w:r>
    </w:p>
    <w:p>
      <w:r>
        <w:t>FAUX TÉMOIGNAGE;EXPERTISE;INTÉRÊT JURIDIQUE(PROCÉDURE CIVILE);SECRET PROFESSIONNEL;CALOMNIE | CP.307; CP.321; CP.173; CP.14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2.1</w:t>
      </w:r>
    </w:p>
    <w:p>
      <w:r>
        <w:t>Le recours a été déposé selon la forme et dans le délai prescrits (art. 385 al. 1, 390 al. 1 et 396 al. 1 CPP) et concerne une ordonnance sujette à recours auprès de la Chambre de céans (art. 393 al. 1 let. a CPP).![endif]&gt;![if&gt;</w:t>
      </w:r>
    </w:p>
    <w:p>
      <w:r>
        <w:rPr>
          <w:b/>
        </w:rPr>
        <w:t>E. 2.2</w:t>
      </w:r>
    </w:p>
    <w:p>
      <w:r>
        <w:t>Seule une partie qui a un intérêt juridiquement protégé à la modification ou à l'annulation de la décision querellée a toutefois qualité pour recourir contre celle-ci (art. 382 al. 1 CPP). 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 Pour être directement touché, le lésé doit, en outre, subir une atteinte en rapport de causalité directe avec l'infraction poursuivie, ce qui exclut les dommages par ricochet (arrêt du Tribunal fédéral 1B_294/2013 du 24 septembre 2013 consid. 2.1). Le recourant doit en outre avoir un intérêt actuel et pratique à l'élimination de cette atteinte, c'est-à-dire à l'annulation ou à la modification de la décision dont elle provient (A. KUHN / Y. JEANNERET (éds), Commentaire romand : Code de procédure pénale suisse , Bâle 2011, n. 3 ad art. 382; arrêt du Tribunal fédéral 6B_97/2011 du 24 mars 2011 consid. 2).</w:t>
      </w:r>
    </w:p>
    <w:p>
      <w:r>
        <w:rPr>
          <w:b/>
        </w:rPr>
        <w:t>E. 2.3</w:t>
      </w:r>
    </w:p>
    <w:p>
      <w:r>
        <w:t>La plaignante dispose d'un intérêt juridiquement protégé, et partant de la qualité pour recourir, en ce qui concerne les infractions d'atteinte à l'honneur dont elle se prévaut, les art. 173 et ss CP protégeant des intérêts individuels.</w:t>
      </w:r>
    </w:p>
    <w:p>
      <w:r>
        <w:rPr>
          <w:b/>
        </w:rPr>
        <w:t>E. 2.4</w:t>
      </w:r>
    </w:p>
    <w:p>
      <w:r>
        <w:t>La recourante ne dispose, en revanche, pas de la qualité pour recourir s'agissant de la violation du secret professionnel (art. 321 CP). Elle n'explique pas en quoi elle serait lésée par la violation d'un secret qui concerne le père de sa fille, qu'elle a elle-même révélé à l'expert. 2.5.1. L'art. 307 al. 1 CP punit celui qui, étant témoin, expert, traducteur ou interprète en justice, aura fait une déposition fausse sur les faits de la cause, fourni un constat ou un rapport faux, ou fait une traduction fausse. Cette disposition protège en première ligne l'intérêt collectif, en réprimant des infractions contre l'administration de la justice, dont le but est la recherche de la vérité matérielle. Les intérêts privés des parties ne sont donc défendus que de manière indirecte (ATF 123 IV 184 consid. 1c; arrêt du Tribunal fédéral 1B_596/2011 du 30 mars 2012 consid. 1.5.2; S. TRECHSEL / M. PIETH (éd.), Schweizerisches Strafgesetzbuch : Praxiskommentar , 2e éd., Zurich 2012, n. 1 ad art. 307; A. DONATSCH / W. WOHLERS, Strafrecht IV, Delikte gegen die Allgemeinheit, Zurich, 2004, p. 423; U. CASSANI, Commentaire du droit pénal suisse , vol. 9, Berne, 1996, n. 1 ad art. 307). Il en résulte que les particuliers ne sont des lésés que si leurs intérêts privés ont été effectivement touchés par les actes en cause, de sorte que leur dommage apparaît comme la conséquence directe de l'acte dénoncé, ce qu'ils doivent exposer (ATF 123 IV 184 consid. 1c p. 188; M. NIGGLI/ M. HEER/ H. WIPRÄCHTIGER (éds), Strafprozessordnung – Jugendstrafprozessordnung, Basler Kommentar StPO/JStPO , 2e éd., Bâle 2014, n. 81 ad art. 115). À cet égard, le Tribunal fédéral considère que tant que le litige à l'origine de la dénonciation pénale n'est pas terminé, il est impossible de déterminer si les prétendues fausses déclarations auront ou non une quelconque influence sur le jugement à rendre. S'agissant, à ce stade, de pures conjectures, il n'y a pas de lien de causalité direct entre les déclarations incriminées et le préjudice allégué, l'intéressé ne subissant aucune conséquence dommageable du fait des déclarations proférées. Le fait qu'un premier jugement ait été rendu n'y change rien (arrêt du Tribunal fédéral 1B_649/2012 du 11 septembre 2013 consid. 3.3). Dans un tel cas, la qualité pour recourir doit donc être niée, au sens de l'art. 382 al. 1 CPP, faute d'un intérêt personnel et juridiquement protégé (ATF 123 IV 184 consid. 1c; arrêts du Tribunal fédéral 1B_596/2011 du 30 mars 2012 consid. 1.5.2 et 1B_489/2011 du 24 janvier 2012 consid. 2.2). 2.5.2. En l'occurrence, on peut comprendre du courrier du 13 décembre 2018 du conseil de la recourante adressé au Tribunal civil, que ce dernier aurait ordonné, la veille, sur mesures superprovisionnelles, le transfert de la garde de l'enfant au père. On ignore, cependant, faute d'avoir produit la décision, sur quelle fondement le TPI a rendu cette ordonnance et si les experts ont confirmé leur rapport. En toute hypothèse, il s'agit d'une décision sur mesures superprovisionnelles, soit non définitive, et l'on ne sait pas si elle a été, ou sera, confirmée par le TPI, voire si un appel a été, ou sera, interjeté. Il apparaît dès lors que les actes incriminés n'ont, à ce stade, qu'un effet temporaire sur la décision civile rendue, laquelle pouvait être modifiée en tout temps, s'agissant de mesures provisionnelles (art. 276 al. 2 CPC; F. BOHNET / J. HALDY / N. JEANDIN / P. SCHWEIZER / D. TAPPY, Code de procédure civile commenté , Bâle 2011, n. 28-30 ad art. 276). Ainsi, la recourante n'a pas d'intérêt actuel, personnel et juridiquement protégé à l'annulation de l'ordonnance entreprise, ce qu'elle n'allègue du reste pas. Il s'ensuit que son recours est irrecevable s'agissant d'une éventuelle violation de l'art. 307 CP.</w:t>
      </w:r>
    </w:p>
    <w:p>
      <w:r>
        <w:rPr>
          <w:b/>
        </w:rPr>
        <w:t>E. 3</w:t>
      </w:r>
    </w:p>
    <w:p>
      <w:r>
        <w:t>La recourante reproche au Procureur de ne pas être entré en matière s'agissant des faits de calomnie qu'elle reprochait aux experts. ![endif]&gt;![if&gt;</w:t>
      </w:r>
    </w:p>
    <w:p>
      <w:r>
        <w:rPr>
          <w:b/>
        </w:rPr>
        <w:t>E. 3.1</w:t>
      </w:r>
    </w:p>
    <w:p>
      <w:r>
        <w:t>Selon l'art. 310 al. 1 CPP, le ministère public rend immédiatement une ordonnance de non-entrée en matière s'il ressort notamment de la dénonciation que les éléments constitutifs de l'infraction ne sont manifestement pas réunis (let. a); qu'il existe des empêchements de procéder (let. b). 3.2.1. L'art. 173 ch. 1 CP punit celui qui, en s'adressant à un tiers, aura accusé une personne ou jeté sur elle le soupçon de tenir une conduite contraire à l'honneur, ou de tout autre fait propre à porter atteinte à sa considération, celui qui aura propagé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(ATF 137 IV 313 consid. 2.1.1 p. 315). L'honneur protégé par le droit pénal est conçu de façon générale comme un droit au respect, qui est lésé par toute assertion propre à exposer la personne visée au mépris en sa qualité d'être humain (ATF 132 IV 112 consid. 2.1 p. 115).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 315 s.).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(ATF 117 IV 27 consid. 2c p. 29). Du point de vue subjectif, il suffit que l'auteur ait eu conscience du caractère attentatoire à l'honneur de ses propos et qu'il les ait néanmoins proférés; il n'est pas nécessaire qu'il ait eu la volonté de blesser la personne visée (ATF 137 IV 313 consid. 2.1.6 p. 317; arrêt du Tribunal fédéral 6B_541/2019 du 15 juillet 2019 consid. 2.1). 3.2.2. La calomnie, au sens de l'art. 174 ch. 1 CP,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(arrêt 6B_1100/2014 du 14 octobre 2015 consid. 4.1 et 6S.6/2002 du 6 février 2002 consid. 2a).</w:t>
      </w:r>
    </w:p>
    <w:p>
      <w:r>
        <w:rPr>
          <w:b/>
        </w:rPr>
        <w:t>E. 3.3</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une partie (et son avocat) peut ainsi invoquer cette disposition à la condition de s'être exprimée de bonne foi, de s'être limitée aux déclarations nécessaires et pertinentes et d'avoir présenté comme telles de simples suppositions (ATF 135 IV 177 consid. 4 p. 178; 131 IV 154 consid. 1.3.1 p. 157). Celui qui, dans l'exercice d'une fonction, doit faire état de circonstances contraires à l'honneur et qui doit porter un jugement de valeur sur les circonstances personnelles et les motifs d'autrui, est protégé par l'art. 32 aCP [depuis: art. 14 CP], dans la mesure où il ne va pas au-delà de ce qui est nécessaire et ne connaît pas la fausseté de ses allégations. 106 IV 179 consid. 3 let. c).</w:t>
      </w:r>
    </w:p>
    <w:p>
      <w:r>
        <w:rPr>
          <w:b/>
        </w:rPr>
        <w:t>E. 3.4</w:t>
      </w:r>
    </w:p>
    <w:p>
      <w:r>
        <w:t>. En l'espèce, la recourante considère l'expertise calomnieuse à son égard mais ne précise pas dans son recours les déclarations qu'elle retient comme portant atteinte à son honneur. Dans sa plainte, elle soutient que les experts l'auraient accusée d'enlèvement, d'être un parent aliénant et que sa fille serait en danger chez elle. Quand bien même les appréciations faites par les experts (cf. B.a ) seraient considérées comme attentatoires à l'honneur de la recourante, il convient de retenir que les experts se sont prononcés sur les questions posées par le juge. Dans la mesure où ils concluaient à ce que le lieu de résidence de l'enfant soit transféré chez le père, ils étaient tenus d'expliquer en quoi, selon leur appréciation, les relations entre la mère et sa fille mettaient cette dernière en danger. Ils se devaient également, dans la mesure où telle était leur conclusion, d'informer le juge d'un risque de passage à l'acte (l'enlèvement) si la décision de retrait de garde était prononcée. Les allégations des experts, qui se sont prononcés dans le cadre du mandat judiciaire qui leur a été confié, sont ainsi, quoi qu'il en soit, couvertes par l'art. 14 CP. Justifiée, l'ordonnance querellée sera donc confirmée.</w:t>
      </w:r>
    </w:p>
    <w:p>
      <w:r>
        <w:rPr>
          <w:b/>
        </w:rPr>
        <w:t>E. 4</w:t>
      </w:r>
    </w:p>
    <w:p>
      <w:r>
        <w:t>S'agissant des infractions de contrainte (art. 181 CP) et de violation du devoir d'assistance et d'éducation (art. 219 CP), la recourante ne développe pas suffisamment ses griefs pour permettre à la Chambre de céans de comprendre la manière dont les experts les auraient commises.![endif]&gt;![if&gt;</w:t>
      </w:r>
    </w:p>
    <w:p>
      <w:r>
        <w:rPr>
          <w:b/>
        </w:rPr>
        <w:t>E. 5</w:t>
      </w:r>
    </w:p>
    <w:p>
      <w:r>
        <w:t>La recourante n'expose pas plus en quoi le Ministère public aurait violé son droit d'être entendue – cette autorité ne devant pas entendre la recourante avant le prononcé de son ordonnance de non-entrée en matière –, pas plus que les articles de la CEDH qu'elle cite (cf. arrêt du tribunal fédéral 6B_679/2019 du 31 octobre 2019 consid. 2.2.). ![endif]&gt;![if&gt;</w:t>
      </w:r>
    </w:p>
    <w:p>
      <w:r>
        <w:rPr>
          <w:b/>
        </w:rPr>
        <w:t>E. 6</w:t>
      </w:r>
    </w:p>
    <w:p>
      <w:r>
        <w:t>La recourante demande à bénéficier de l'assistance judiciaire.</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rPr>
          <w:b/>
        </w:rPr>
        <w:t>E. 6.2</w:t>
      </w:r>
    </w:p>
    <w:p>
      <w:r>
        <w:t>Au vu des considérants de l'arrêt, la cause était vouée à l'échec.</w:t>
      </w:r>
    </w:p>
    <w:p>
      <w:r>
        <w:rPr>
          <w:b/>
        </w:rPr>
        <w:t>E. 7</w:t>
      </w:r>
    </w:p>
    <w:p>
      <w:r>
        <w:t>La recourante, qui succombe dans ses conclusions, supportera les frais envers l'État, comprenant un émolument de décision (art. 428 al. 1 CPP et 13 al. 1 du Règlement fixant le tarif des frais en matière pénale, RTFMP ; E 4 10.03), fixés en totalité à CHF 900.-.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