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P/18287/2021 vom 4. Februar 2025</w:t>
      </w:r>
    </w:p>
    <w:p>
      <w:r>
        <w:t>GE Cour de justice, 2025-02-04, FR</w:t>
      </w:r>
    </w:p>
    <w:p>
      <w:r>
        <w:rPr>
          <w:b/>
        </w:rPr>
        <w:t xml:space="preserve">Quelle: </w:t>
      </w:r>
      <w:r>
        <w:t>https://mcp.opencaselaw.ch/entscheid/ge_gerichte_P_18287_2021</w:t>
      </w:r>
    </w:p>
    <w:p>
      <w:r>
        <w:t>FR: GE_GERICHTE P/18287/2021 du 4 février 2025</w:t>
      </w:r>
    </w:p>
    <w:p>
      <w:r>
        <w:t>IT: GE_GERICHTE P/18287/2021 del 4 febbraio 2025</w:t>
      </w:r>
    </w:p>
    <w:p>
      <w:pPr>
        <w:pStyle w:val="Heading2"/>
      </w:pPr>
      <w:r>
        <w:t>Regeste</w:t>
      </w:r>
    </w:p>
    <w:p>
      <w:r>
        <w:t>DÉCISION D'IRRECEVABILITÉ;RÉVISION(DÉCISION) | CPP.410</w:t>
      </w:r>
    </w:p>
    <w:p>
      <w:pPr>
        <w:pStyle w:val="Heading2"/>
      </w:pPr>
      <w:r>
        <w:t>Erwägungen</w:t>
      </w:r>
    </w:p>
    <w:p>
      <w:r>
        <w:rPr>
          <w:b/>
        </w:rPr>
        <w:t>E. 1.1</w:t>
      </w:r>
    </w:p>
    <w:p>
      <w:r>
        <w:t>L'art. 410 al. 1 let. a du code de procédure pénale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1.2</w:t>
      </w:r>
    </w:p>
    <w:p>
      <w:r>
        <w:t>L'autorité saisie peut refuser d'entrer en matière lorsque les motifs de révision invoqués sont manifestement non vraisemblables ou infondés ou lorsque la demande de révision apparaît abusive (art. 412 al. 2 CPP ; arrêt du Tribunal fédéral 6B_1126/2019 du 4 novembre 2019 consid. 1.1).</w:t>
      </w:r>
    </w:p>
    <w:p>
      <w:r>
        <w:rPr>
          <w:b/>
        </w:rPr>
        <w:t>E. 1.3</w:t>
      </w:r>
    </w:p>
    <w:p>
      <w:r>
        <w:t>Conformément à l'art. 388 al. 2 let. a CPP, la direction de la procédure décide de ne pas entrer en matière sur les recours manifestement irrecevables.</w:t>
      </w:r>
    </w:p>
    <w:p>
      <w:r>
        <w:rPr>
          <w:b/>
        </w:rPr>
        <w:t>E. 2</w:t>
      </w:r>
    </w:p>
    <w:p>
      <w:r>
        <w:t>2.1. Conformément à l'art. 410 al. 1 CPP, toute personne lésée par une ordonnance pénale peut en demander la révision : s'il existe des faits nouveaux antérieurs au prononcé ou de nouveaux moyens de preuve qui sont de nature à motiver l'acquittement ou une condamnation sensiblement moins sévère ou plus sévère du condamné ou encore la condamnation de la personne acquittée (let. a) ; si la décision est en contradiction flagrante avec une décision pénale rendue postérieurement sur les mêmes faits (let. b) ou s'il est établi dans une autre procédure pénale que le résultat de la procédure a été influencé par une infraction, une condamnation n'étant pas exigée comme preuve ; si la procédure pénale ne peut être exécutée, la preuve peut être apportée d'une autre manière (let. c).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Elle n'est pas non plus ouverte pour réparer des erreurs de procédure d'une partie.</w:t>
      </w:r>
    </w:p>
    <w:p>
      <w:r>
        <w:rPr>
          <w:b/>
        </w:rPr>
        <w:t>E. 2.2</w:t>
      </w:r>
    </w:p>
    <w:p>
      <w:r>
        <w:t>À teneur de l'art. 412 CPP, la juridiction d'appel examine préalablement la demande de révision en procédure écrite (al. 1). Elle n'entre pas en matière si la demande est manifestement irrecevable ou non motivée (al. 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(ATF 143 IV 122 consid. 3.5), ou encore lorsque la demande de révision apparaît abusive. Un tel refus s'impose alors pour des motifs d'économie de procédure, car si la situation est évidente, il n'y a pas de raison que l'autorité requière des déterminations (art. 412 al. 3 CPP) pour ensuite rejeter la demande (art. 413 al. 1 CPP ; arrêt du Tribunal fédéral 6B_482/2024 du 16 octobre 2024 consid. 1.1).</w:t>
      </w:r>
    </w:p>
    <w:p>
      <w:r>
        <w:rPr>
          <w:b/>
        </w:rPr>
        <w:t>E. 2.3</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Il s'agit, dans chaque cas d'examiner, au regard des circonstances de l'espèce, si la demande tend à contourner les voies de droit ordinaires (ATF 145 IV 197 consid. 1.1 p. 199).</w:t>
      </w:r>
    </w:p>
    <w:p>
      <w:r>
        <w:rPr>
          <w:b/>
        </w:rPr>
        <w:t>E. 2.4</w:t>
      </w:r>
    </w:p>
    <w:p>
      <w:r>
        <w:t>En l'espèce, la demande de révision est manifestement infondée. Les faits invoqués à l’appui de celle-ci – la soi-disant fausseté de la dénonciation de l'Office des poursuites et la situation financière du prévenu au moment de la saisie litigieuse – pouvaient, respectivement devaient être soulevés dans le cadre de la procédure d'opposition ; le demandeur ne saurait, par la voie de la demande en révision, remédier à l'incurie dont il a fait preuve dans ce contexte. Au surplus, l'impécuniosité du requérant a déjà été invoquée, en vain, comme excuse dans le cadre de la procédure d'opposition, jusque devant le Tribunal fédéral. Enfin, la nécessité de bénéficier d'un casier judiciaire vierge dans le contexte de démarches professionnelles ne constitue manifestement pas un motif de révision au sens de la loi. À toutes fins utiles, l'attention du requérant est attirée sur l'art. 40 al. 2 let. b de la loi sur le casier judiciaire, aux termes duquel les jugements dans lesquels a été prononcée une peine assortie d’un sursis qui n’a pas été révoqué cessent de figurer sur l’extrait lorsque le condamné a subi avec succès la mise à l’épreuve, soit, dans son cas, en avril 2025. Au vu de ce qui précède, le demandeur ne fait valoir aucun fait ou moyen de preuve nouveau qui puisse être de nature à permettre une entrée en matière.</w:t>
      </w:r>
    </w:p>
    <w:p>
      <w:r>
        <w:rPr>
          <w:b/>
        </w:rPr>
        <w:t>E. 2.5</w:t>
      </w:r>
    </w:p>
    <w:p>
      <w:r>
        <w:t>La demande de révision ne repose ainsi sur aucun motif valable au sens de l’art. 410 CPP et sera déclarée irrecevable.</w:t>
      </w:r>
    </w:p>
    <w:p>
      <w:r>
        <w:rPr>
          <w:b/>
        </w:rPr>
        <w:t>E. 3</w:t>
      </w:r>
    </w:p>
    <w:p>
      <w:r>
        <w:t>Le demandeur, qui succombe, supportera les frais de la procédure, comprenant un émolument de décision réduit à CHF 200.- (art. 425 et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