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P/18252/2019 vom 30. August 2021</w:t>
      </w:r>
    </w:p>
    <w:p>
      <w:r>
        <w:t>GE Cour de justice, 2021-08-30, FR</w:t>
      </w:r>
    </w:p>
    <w:p>
      <w:r>
        <w:rPr>
          <w:b/>
        </w:rPr>
        <w:t xml:space="preserve">Quelle: </w:t>
      </w:r>
      <w:r>
        <w:t>https://mcp.opencaselaw.ch/entscheid/ge_gerichte_P_18252_2019</w:t>
      </w:r>
    </w:p>
    <w:p>
      <w:r>
        <w:t>FR: GE_GERICHTE P/18252/2019 du 30 août 2021</w:t>
      </w:r>
    </w:p>
    <w:p>
      <w:r>
        <w:t>IT: GE_GERICHTE P/18252/2019 del 30 agosto 2021</w:t>
      </w:r>
    </w:p>
    <w:p>
      <w:pPr>
        <w:pStyle w:val="Heading2"/>
      </w:pPr>
      <w:r>
        <w:t>Regeste</w:t>
      </w:r>
    </w:p>
    <w:p>
      <w:r>
        <w:t>SÉQUESTRE(LP);MINIMUM VITAL | CPP.263; CPP.268; CP.71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 maintien de certains séquestres en tant qu'il ne dispose pas des ressources lui permettant d'assumer les dépenses nécessaires à ses besoins essentiels et à ceux de sa famille, qu’il évalue à CHF 20258.- par mois. 2.1.1. Le séquestre – notamment au sens de l'art. 263 al. 1 CPP –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(arrêt du Tribunal fédéral 1B_414/2019 du 13 janvier 2020 consid. 2.1 et les arrêts cités). Les probabilités d'une confiscation doivent cependant se renforcer au cours de l'instruction (ATF 122 IV 91 consid. 4 p. 96).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p. 336 ; arrêt du Tribunal fédéral 1B_116/2021 du 5 mai 2021 consid. 5.1 et les arrêts cités). 2.1.2. L'art. 268 al. 1 CPP permet le séquestre du patrimoine d'un prévenu dans la mesure qui paraît nécessaire pour couvrir les frais de procédure et les indemnités à verser (let. a), les peines pécuniaires et les amendes (let. b). Le séquestre en couverture des frais impose de prendre en compte le revenu et la fortune du prévenu (art. 268 al. 2 CPP) et d'exclure du séquestre les valeurs insaisissables selon les art. 92 - 94 de la loi fédérale du 11 avril 1889 sur la poursuite pour dettes et la faillite (LP ou loi sur la poursuite; RS 281.1; art. 268 al. 3 CPP). Un tel examen s'impose car cette mesure tend exclusivement à la sauvegarde des intérêts publics, donc à garantir le recouvrement de la future dette de droit public du prévenu. Elle peut, de plus, porter sur tous les biens et valeurs du prévenu, même ceux qui n'ont pas de lien de connexité avec l'infraction. 2.1.3. L'art. 71 al. 3 CP permet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dispositions requérant en revanche l'existence d'un tel rapport (ATF 140 IV 57 c.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p. 252 s. et les arrêts cités). Le séquestre ne saurait toutefois violer le droit constitutionnel du prévenu à des conditions minimales d'existence, de sorte que l'autorité pénale doit, déjà à ce stade du séquestre, tenir compte de l'éventuelle atteinte au minimum vital du prévenu (ATF 141 IV 360 consid. 3.2 et 3.4). 2.2.1. À la lumière de l'ensemble de ces principes, force est de constater qu'il n'existe, à ce stade de la procédure, aucun motif permettant d'envisager la levée partielle des séquestres litigieux. Dans le cadre d'une enquête complexe impliquant des recherches approfondies en Suisse et à l'étranger, ceux-ci ne sont pas d'une durée excessive, ce qui n'est par ailleurs pas allégué, et la vraisemblance de l'existence de charges suffisantes à l'encontre du recourant, pas vraiment contestée par ce dernier dans le présent recours, demeure, en l'état d'avancement de l'instruction, largement suffisante au regard des critères applicables en la matière pour les maintenir. Il est en effet vraisemblable, à ce stade, que l'implication du recourant dans l'activité délictuelle que lui prête l'intimé, sur plusieurs années, permette d'envisager un dommage possible de l'ordre de plusieurs millions de francs suisses. La question de la proportionnalité des séquestres en cause ne se pose donc pas. 2.2.2. Le recourant insiste sur la précarité de sa situation financière et sur la nécessité de libérer des fonds afin d'assurer l'entretien de sa famille. Or, le dossier révèle, malgré les contestations du recourant, qu'il a maintenu un train de vie élevé depuis sa mise en prévention et les budgets conséquents qu'il présente au Ministère public ou à la Chambre de céans démontrent qu'il a choisi de ne pas en changer, malgré l'impact de sa mise en prévention sur sa situation. Ainsi, depuis octobre 2019, il n'a rien entrepris pour dépenser moins et a largement puisé dans ses biens disponibles pour assurer un train de vie avoisinant celui de sa situation antérieure. À tout le moins et selon son calcul a-t-il continué à dépenser plus de CHF 25'000.- par mois, voire plus de CHF 60'000.-, étant observé que ces montants sont largement inférieurs aux conclusions des intimés et supérieurs à ce que ces derniers considèrent comme suffisants. Le recourant prétend dorénavant ne pouvoir maintenir l'essentiel de son train de vie qu'en obtenant la levée des séquestres, sans proposer une réelle adaptation de son budget. Or, il ne parle ni de la réduction des frais d'écolage de ses enfants, ni de la possibilité pour son épouse de travailler ni de celle de mettre en location la villa familiale, dans un contexte pourtant favorable. Ces derniers constats permettent de considérer que le séquestre dont se plaint le recourant ne l'affecte pas dans la mesure annoncée et que son minimum vital n'est pas atteint. En effet, s'il avait accepté de réduire son train de vie, les montants qu'il avait reçus suffisaient déjà à garantir son minimum vital, que l'on peut retenir, pour sa famille, avec le Ministère public, à hauteur de CHF 8'250.65 par mois et ce sans même considérer les biens qu'il possède à l'étranger et dont l'étendue n'est pas clairement définie, ni prendre en compte les avances qu'il pourrait obtenir au regard des montants importants qui devraient lui échoir à l'avènement prochain de l'âge de la retraite. Dans ces circonstances, les séquestres prononcés doivent être maintenus.</w:t>
      </w:r>
    </w:p>
    <w:p>
      <w:r>
        <w:rPr>
          <w:b/>
        </w:rPr>
        <w:t>E. 3</w:t>
      </w:r>
    </w:p>
    <w:p>
      <w:r>
        <w:t>Justifiée, l'ordonnance querellée sera donc confirmée.</w:t>
      </w:r>
    </w:p>
    <w:p>
      <w:r>
        <w:rPr>
          <w:b/>
        </w:rPr>
        <w:t>E. 4</w:t>
      </w:r>
    </w:p>
    <w:p>
      <w:r>
        <w:t>Le recourant, qui succombe, supportera les frais envers l'État,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