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P/18245/2011 vom 13. November 2013</w:t>
      </w:r>
    </w:p>
    <w:p>
      <w:r>
        <w:t>GE Cour de justice, 2013-11-13, FR</w:t>
      </w:r>
    </w:p>
    <w:p>
      <w:r>
        <w:rPr>
          <w:b/>
        </w:rPr>
        <w:t xml:space="preserve">Quelle: </w:t>
      </w:r>
      <w:r>
        <w:t>https://mcp.opencaselaw.ch/entscheid/ge_gerichte_P_18245_2011</w:t>
      </w:r>
    </w:p>
    <w:p>
      <w:r>
        <w:t>FR: GE_GERICHTE P/18245/2011 du 13 novembre 2013</w:t>
      </w:r>
    </w:p>
    <w:p>
      <w:r>
        <w:t>IT: GE_GERICHTE P/18245/2011 del 13 novembre 2013</w:t>
      </w:r>
    </w:p>
    <w:p>
      <w:pPr>
        <w:pStyle w:val="Heading2"/>
      </w:pPr>
      <w:r>
        <w:t>Regeste</w:t>
      </w:r>
    </w:p>
    <w:p>
      <w:r>
        <w:t>DISPOSITIONS PÉNALES DE LA LSTUP; FIXATION DE LA PEINE; SURSIS À L'EXÉCUTION DE LA PEINE; RÉVOCATION DU SURSIS | LStup.19.2.a; CP.47; CP.46.1; CP.46.2; CP.46.3</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éléments à charge fondant la culpabilité de l'appelant dans les quantités retenues par le tribunal de première instance ressortent de ses déclarations, tant au cours de l'instruction que lors des débats de première instance. Depuis sa première audition à la police, l'appelant a lui-même articulé les chiffres de 800 g d'acquisition de la drogue et de 3,4 kilos après conditionnement, voire un peu plus encore, sur lesquels avait porté son trafic. La police ne détenant guère d'information sur l'ampleur du trafic, au-delà de ses observations, les chiffres articulés ne pouvaient provenir que du seul appelant. Or, s'il a varié quant au mode d'acquisition des 800 g d'héroïne (en une fois, en deux opérations de 400 g voire même en quatre fois), l'appelant n'a jamais mis en doute la quantité initiale acquise ni celle obtenue après les opérations de coupage. Le chiffre de 3,4 kilos a été dit à la police, répété devant le Ministère public et encore en audience de jugement, avec la nuance d'une quantité minimale limitée à trois kilos. Dans ces circonstances, la quantité plaidée en appel de 2,5 kilos ne repose sur rien de concret, en plus d'être en contradiction avec les propres estimations de l'appelant. Certes, avant d'articuler le chiffre de 3,4 kilos vendus, l'appelant a-t-il mentionné à la police que son trafic portait sur un minimum de deux kilos d'héroïne. Cette quantité a cependant été rectifiée avant la fin de son audition. Le chiffre de 3 à 3,4 kilos d'héroïne a ensuite été confirmé au cours de l'instruction, seul le mode d'acquisition de la drogue pure présentant des fluctuations. Il convient en conséquence de s'en tenir à cette quantité de drogue sur laquelle le trafic de l'appelant a porté. La quantité d'environ 20 kilos de produit de coupage va de pair, étant précisé qu'il ne sera guère accordé du crédit aux dénégations de l'appelant à ce propos. On voit en effet mal un trafiquant déposer en consigne autant de produit de coupage dans un lieu sans pouvoir exercer un pouvoir de contrôle sur la marchandise. L'héroïne ayant été écoulée en grande partie, il n'est pas possible de définir avec exactitude le taux moyen de pureté de la drogue. Il convient cependant de retenir le taux le plus favorable à l'appelant, soit celui qui a cours pour l'héroïne vendue aux consommateurs. Le taux retenu sera ainsi de l'ordre de 10 %, ce qui correspond d'ailleurs au taux moyen de pureté des stupéfiants contenus dans les sachets minigrip saisis dans les appartements. Quel que soit le taux retenu, la quantité totale de l'héroïne vendue reste inchangée. Le jugement du Tribunal correctionnel sera ainsi confirmé.</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3.2</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3.5</w:t>
      </w:r>
    </w:p>
    <w:p>
      <w:r>
        <w:t>L'appelant a joué un rôle de premier plan dans le trafic qui s'est étendu sur plusieurs mois. Il n'a pas hésité à reprendre une activité délinquante quelques mois après sa sortie de prison, revenant en Suisse alors qu'il savait y être interdit de séjour. Les quantités, qui sont très importantes, démontrent qu'il avait la confiance de son fournisseur et un réseau d'acheteurs confirmés. Son activité délictueuse est d'autant plus forte qu'elle s'est manifestée par de nombreuses transactions nécessitant pour chacune d'elles une volonté renouvelée de passer à l'acte. La quantité retenue de trois kilos d'héroïne est exemplaire de l'ampleur du trafic. La faute de l'appelant est rendue plus significative encore par le fait de ses antécédents, qui plus est spécifique pour le principal d'entre eux. Ses mobiles sont égoïstes dans la mesure où il a agi par appât du gain, étant précisé qu'il a tiré la totalité de ses revenus de son trafic. Il a profité de sa position hiérarchique supérieure et donné des ordres de livraison à l'intimé B.______, ce qui l'exonérait de risques accrus lors des contacts avec les acheteurs. A la violation grave de la LStup s'ajoutent un mépris pour la législation en vigueur pour être revenu en Suisse et y avoir séjourné sans droit, un concours d'infractions (art. 49 al. 1 CP) et l'absence de toute circonstance atténuante au sens de l'art. 48 CP. L'appelant plaide sa bonne collaboration. Il est vrai qu'il ne s'est pas muré dans le déni à l'instar d'autres trafiquants. Cela dit, ses aveux ne sont pas sortis de nulle part. Des quantités significatives d'héroïne ont été saisies, en complément des observations de la police qui avait déjà pu conclure à une activité assez intense. Bien plus, les nombreux kilos de produit de coupage saisis, ajoutés au matériel de conditionnement, ont révélé une activité dépassant le stade du trafic de rue, sans que les aveux de l'appelant ne soient indispensables pour aboutir à un tel constat. La collaboration de l'appelant n'a au surplus pas été exemplaire, preuves en sont ses dénégations quant à la comptabilité chiffrée des ventes après l'avoir admis. Quoique l'appelant en pense, ses aveux ont été limités, dans la mesure où aucune information n'a été donnée au sujet de son fournisseur ou des acheteurs en gros qui aurait permis à la police de compléter son enquête. Ses antécédents judiciaires sont mauvais. Son manque d'instruction ne constitue pas une excuse, car cela n'explique pas qu'il persiste à séjourner en Suisse sans autorisation et qu'il en profite pour organiser un trafic de stupéfiants, n'hésitant pas à reprendre contact avec le même fournisseur que précédemment. Il a été condamné à deux reprises depuis 2007, à chaque fois pour des faits de même nature, la dernière condamnation datant de 2010 étant particulièrement significative dans la mesure où elle portait déjà sur une infraction grave à la LStup. Ces décisions ne l’ont pas dissuadé de récidiver, bien qu'il ait bénéficié deux fois de mesures de sursis, complet ou partiel. Il s'ensuit que l'appelant n'a rien appris de son parcours judiciaire. Il a certes exprimé des regrets, sans que ceux-ci ne soient perçus autrement que comme circonstanciels, rien dans son comportement durant l'instruction ne démontrant une prise de conscience affirmée de la gravité de ses actes. Au vu de ce qui précède, aucun élément ne commande de modifier la quotité de la peine infligée par les premiers juges, qui doit être tenue pour adéquate. En comparaison, celle de l'intimé B.______, moins lourde, correspond à son rôle moins élevé dans la hiérarchie et à des responsabilités limitées, en plus de l'absence d'antécédents judiciaires le concernant. La peine de 4 ans et demi, qui tient équitablement compte de tous les paramètres décrits à l'art. 47 CP, sera ainsi confirmée.</w:t>
      </w:r>
    </w:p>
    <w:p>
      <w:r>
        <w:rPr>
          <w:b/>
        </w:rPr>
        <w:t>E. 4.1</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Le nouveau droit introduit une "clause de la seconde chance" en ce sens que, nonobstant la commission d'un nouveau crime ou délit, le juge ne peut révoquer le sursis qu'en présence d'un pronostic défavorable (A. KUHN in : A. KUHN / L. MOREILLON / B. VIREDAZ / A. BICHOVSKY, La nouvelle partie générale du Code pénal , 2006, p. 230).</w:t>
      </w:r>
    </w:p>
    <w:p>
      <w:r>
        <w:rPr>
          <w:b/>
        </w:rPr>
        <w:t>E. 4.2</w:t>
      </w:r>
    </w:p>
    <w:p>
      <w:r>
        <w:t>L'appelant a récidivé alors qu'il savait que la commission d'infractions de même nature l'exposait à cette révocation. Il est l'auteur de nouvelles infractions graves en matière de LStup après une première condamnation pour les mêmes motifs. La récidive spéciale et l'absence d'une prise de conscience aboutie démontrent un pronostic clairement défavorable. Vu l'état d'esprit de l'appelant, il n’y a par ailleurs aucune raison de penser que la nouvelle peine aurait un effet dissuasif suffisant, ce d'autant moins que la précédente de 15 mois ferme ne l'a pas empêché de récidiver. En tout état, les deux précédentes sanctions n'ont nullement atteint le but d’avertissement recherché. En application de l'art. 46 al. 1 et 3 CP, il y a ainsi lieu de révoquer le sursis octroyé le 9 mars 2010, étant donné que l'appelant a commis une infraction aggravée à la LStup pendant le délai d'épreuve de quatre ans et que rien ne permet de dire qu'il ne commettra pas de nouveaux délits à l'avenir. Sa situation administrative en Suisse l'empêche de travailler légalement, ce qui représente un risque accru d'adopter un comportement illicite pour faire face à ses besoins financiers. Le pronostic est clairement défavorable eu égard en particulier à la réitération d'actes délictueux de même nature et à la situation personnelle de l'appelant, ce qui ne donne pas droit à l'application de la "clause de la seconde chance" introduite par le nouveau Code pénal (A. KUHN / L. MOREILLON / B. VIREDAZ / A. BICHOVSKY (éds), op. cit., p. 228-230). C'est à bon droit que les premiers juges n'ont pas sanctionné le comportement de l'appelant par la fixation d'une peine d'ensemble par application analogique de l'art. 49 CP, dans la mesure où une telle peine n'entre pas en considération si la peine assortie du sursis révoqué et celle nouvellement prononcée sont du même genre (ATF 134 IV 241 consid. 4 p. 242 ss).</w:t>
      </w:r>
    </w:p>
    <w:p>
      <w:r>
        <w:rPr>
          <w:b/>
        </w:rPr>
        <w:t>E. 5</w:t>
      </w:r>
    </w:p>
    <w:p>
      <w:r>
        <w:t>L'appelant, qui succombe entièrement, sera condamné aux frais de la procédure d'appel, qui comprennent un émolument de jugement de CHF 2'500.- (art. 428 al. 1 CPP et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