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P/18242/2014 vom 6. März 2017</w:t>
      </w:r>
    </w:p>
    <w:p>
      <w:r>
        <w:t>GE Cour de justice, 2017-03-06, FR</w:t>
      </w:r>
    </w:p>
    <w:p>
      <w:r>
        <w:rPr>
          <w:b/>
        </w:rPr>
        <w:t xml:space="preserve">Quelle: </w:t>
      </w:r>
      <w:r>
        <w:t>https://mcp.opencaselaw.ch/entscheid/ge_gerichte_P_18242_2014</w:t>
      </w:r>
    </w:p>
    <w:p>
      <w:r>
        <w:t>FR: GE_GERICHTE P/18242/2014 du 6 mars 2017</w:t>
      </w:r>
    </w:p>
    <w:p>
      <w:r>
        <w:t>IT: GE_GERICHTE P/18242/2014 del 6 marzo 2017</w:t>
      </w:r>
    </w:p>
    <w:p>
      <w:pPr>
        <w:pStyle w:val="Heading2"/>
      </w:pPr>
      <w:r>
        <w:t>Regeste</w:t>
      </w:r>
    </w:p>
    <w:p>
      <w:r>
        <w:t>OBLIGATION D'ENTRETIEN ; AVANCE(EN GÉNÉRAL); OBLIGATION D'ENTRETIEN | CP.217; CP.47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 La Chambre limite son examen aux violations décrites dans l'acte d'appel (art. 404 al. 1 CPP), sauf en cas de décisions illégales ou inéquitables (art. 404 al. 2 CPP). 1.2.1.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Le CPP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l'art. 398 al. 4 CPP (arrêt du Tribunal fédéral 1B_768/2012 du 15 janvier 2013 consid. 2.1). Ainsi, le seul fait qu'il s'agisse d'une preuve qui n'a pas été produite en première instance ne suffit pas à écarter sa prise en compte (arrêt du Tribunal fédéral 6B_654/2013 du 31 octobre 2013 consid. 2.2 - 2.3). Les faits et preuves nouveaux (vrais ou pseudos nova ) doivent donc, en règle générale, être pris en considération, pour autant qu'ils soient pertinents (arrêt du Tribunal fédéral 6B_509/2012 du 22 novembre 2012 consid. 3.2 et les références citées). 1.2.2. Les pièces produites par l'appelant à l'appui de son mémoire d'appel seront admises, dans la mesure où elles paraissent pertinentes pour l'issue de la présente procédure.</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rPr>
          <w:b/>
        </w:rPr>
        <w:t>E. 2.2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de la Loi fédérale sur la poursuite pour dettes et la faillite du 11 avril 1889 [LP ; RS 281.1]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Par-là, on entend celui qui dispose de moyens suffisants pour s'acquitter de son obligation, mais également celui qui ne saisit pas les occasions de gain qui lui sont offertes et qu'il pourrait accepter (ATF 126 IV 131 consid. 3a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Lorsque la quotité de la contribution d'entretien a été fixée dans le dispositif d'un jugement civil valable et exécutoire, le juge pénal appelé à statuer en application de l'art. 217 CP est en principe lié par ce montant (ATF 106 IV 36 ; arrêt du Tribunal fédéral 6B_509/2008 du 29 août 2008 consid. 2.1) ; il n'a pas à se demander s'il aurait lui-même fixé une somme inférieure ou supérieure. Il faut donc établir, pour la période concernée, l'ensemble des revenus du débiteur et l'ensemble de ses charges indispensables (correspondant au minimum vital), afin de savoir si et dans quelle mesure il avait les moyens de respecter son obligation d'entretien (B. CORBOZ, Les infractions en droit suisse , vol. II, 3 e éd., Berne 2010, n. 22 ad. art. 217 CP). Ne commet pas l'infraction celui qui se trouve, pour des raisons indépendantes de sa volonté, dans l'impossibilité de satisfaire à ses obligations (ATF 118 IV 325 ). Le débiteur viole également son obligation d'entretien s'il verse la contribution en retard par rapport aux échéances qui sont prévues. Partant, le paiement de l'arriéré après le dépôt de la plainte n'entraîne pas la libération de celui-ci. En outre, la forme de la prestation doit être respectée pour que l'on considère que l'obligation d'entretien a été remplie. En effet, si le jugement civil prévoit le règlement de la contribution d'entretien en espèces, le débiteur ne peut pas se libérer de son obligation d'entretien en fournissant une prestation en nature. Le débiteur ne peut pas non plus choisir de payer une dette du créancier, notamment son loyer, en lieu et place de la pension due, car la contribution d'entretien doit être mise à la libre disposition de la personne habilitée à la recevoir (T. NEVES / D. PEREIRA, La violation d'une obligation d'entretien, La pratique du droit de la famille , éd. Stämpfli, in FamPra 2013, p. 357-8 et les références citées). Sur le plan subjectif, l'infraction réprimée par l'art. 217 CP doit être commise intentionnellement. L'intention suppose que l'auteur ait connu les faits qui fondent son obligation d'entretien ou qu'il en ait accepté l'éventualité. L'intention de ne pas payer le montant dû sera en règle générale donnée si l'obligation a été fixée dans un jugement ou une convention car elle sera alors connue du débiteur (ATF 70 IV 166 , p. 169).</w:t>
      </w:r>
    </w:p>
    <w:p>
      <w:r>
        <w:rPr>
          <w:b/>
        </w:rPr>
        <w:t>E. 2.3</w:t>
      </w:r>
    </w:p>
    <w:p>
      <w:r>
        <w:t>En l'occurrence, l'appelant a admis ne s'être acquitté que partiellement de son obligation d'entretien pendant la période pénale, alors qu'il en était requis par jugement du 25 septembre 2003. Il convient donc d'examiner si, comme il le prétend, sa situation économique ne lui permettait de s'acquitter que de CHF 1'500.- par mois à titre de contribution d'entretien entre le 1 er juin 2014 et le 31 janvier 2015. Il ressort des pièces produites, en particulier de sa déclaration fiscale, que celui-ci avait réalisé, pendant l'année 2014, à tout le moins un revenu annuel net de CHF 73'560.-, soit un revenu mensuel net de CHF 6'130.-. Il supportait des charges mensuelles à hauteur de CHF 2'233.55 (CHF 850.- de minimum vital [celui du couple de CHF 1'700.- divisé par deux] + CHF 901.50 de loyer [soit CHF 3'103.-, sous déduction de CHF 1'300.-, correspondant au revenu issu de la sous-location, divisé par deux] + CHF 482.05 correspondant à sa prime d'assurance-maladie), étant précisé que son épouse réalisait depuis le mois de mai 2014 un salaire mensuel net de CHF 2'667.70 et percevait une aide financière de l'HOSPICE GéNéRAL, de sorte qu'elle était à même d'assumer seule son entretien. Il découle par conséquent de ce qui précède que l'appelant disposait d'un solde mensuel disponible bien supérieur à CHF 1'500.-, dès lors que celui-ci s'élevait à tout le moins à CHF 3'896.45 (CHF 6'130.- – CHF 2'233.55). A ce stade déjà, il y a lieu de confirmer le verdict de culpabilité de l'appelant. Par surabondance de moyens, la CPAR relève que les explications de l'appelant s'agissant de sa situation financière ont été fluctuantes et contradictoires. En effet, celui-ci a déclaré percevoir CHF 6'000.- à CHF 7'000.- par mois, avant de préciser que le salaire de son épouse devait être porté en déduction de sa propre rémunération, ce qui ne ressort pourtant pas de la déclaration fiscale des époux pour l'année 2014. En outre, les explications – non documentées – de l'appelant au sujet des emprunts qu'il aurait contractés afin de rembourser la dette hypothécaire de son bien immobilier sis en France n'emportent pas conviction. Par ailleurs, le versement de CHF 26'000.-, opéré en décembre 2016 en faveur de C______, démontre bien la capacité de l'appelant à s'acquitter de la totalité des arriérés de pension accumulés pendant la période pénale, lesquels s'élèvent à CHF 16'000.- selon la plainte du SCARPA. La CPAR relève enfin que l'accord du 15 juin 2016, entériné par le juge civil, auquel le SCARPA n'est pas partie, ne saurait conduire à un quelconque acquittement, dans la mesure où le montant de la contribution d'entretien relative à la période pénale n'a pas été modifié. Au demeurant, le versement d'une partie de la somme due est, en tout état de cause, postérieur au dépôt de la plainte. La culpabilité de l'appelant sera par conséquent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L'appelant n'a pas pris de conclusions subsidiaires sur la peine, laquelle n'est contestée ni dans sa nature ni dans sa quotité. La peine pécuniaire de 60 jours-amende à CHF 45.- l'unité consacre une application correcte des critères fixés à l'art. 47 CP. Elle tient compte de manière adéquate de la gravité de la faute et de la situation personnelle et économique de l'appelant et sera par conséquent confirmée. Le principe du sursis est acquis à l'appelant (art. 391 al. 2 CPP). Le jugement entrepris sera par conséquent entièrement confirmé.</w:t>
      </w:r>
    </w:p>
    <w:p>
      <w:r>
        <w:rPr>
          <w:b/>
        </w:rPr>
        <w:t>E. 4</w:t>
      </w:r>
    </w:p>
    <w:p>
      <w:r>
        <w:t>L'appelant, qui succombe, supportera les frais de la procédure d'appel envers l'Etat, comprenant un émolument de CHF 1'500.- (art. 428 CPP et 14 let. e du Règlement fixant le tarif des frais en matière pénale du 22 décembre 2010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