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P/18190/2019 vom 9. Juni 2022</w:t>
      </w:r>
    </w:p>
    <w:p>
      <w:r>
        <w:t>GE Cour de justice, 2022-06-09, FR</w:t>
      </w:r>
    </w:p>
    <w:p>
      <w:r>
        <w:rPr>
          <w:b/>
        </w:rPr>
        <w:t xml:space="preserve">Quelle: </w:t>
      </w:r>
      <w:r>
        <w:t>https://mcp.opencaselaw.ch/entscheid/ge_gerichte_P_18190_2019</w:t>
      </w:r>
    </w:p>
    <w:p>
      <w:r>
        <w:t>FR: GE_GERICHTE P/18190/2019 du 9 juin 2022</w:t>
      </w:r>
    </w:p>
    <w:p>
      <w:r>
        <w:t>IT: GE_GERICHTE P/18190/2019 del 9 giugno 2022</w:t>
      </w:r>
    </w:p>
    <w:p>
      <w:pPr>
        <w:pStyle w:val="Heading2"/>
      </w:pPr>
      <w:r>
        <w:t>Regeste</w:t>
      </w:r>
    </w:p>
    <w:p>
      <w:r>
        <w:t>OPPOSITION À UN ACTE DE L'AUTORITÉ;TABAGISME PASSIF;ÉTABLISSEMENT PÉNITENTIAIRE;FIXATION DE LA PEINE;PEINE PÉCUNIAIRE;SURSIS À L'EXÉCUTION DE LA PEINE;FRAIS JUDICIAIRES | CP.286; CP.47; CP.34; CP.42; CPP.428; CPP.433; CPP.135</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ème éd., Bâle 2019, n. 5a ad art. 62). 2.1.2. L'art. 12 let. c de la loi fédérale sur la libre circulation des avocats (LLCA) prévoit que l'avocat doit éviter tout conflit entre les intérêts de son client et ceux des personnes avec lesquelles il est en relation sur le plan professionnel ou privé. Celui qui accepte ou poursuit la défense d'intérêts contradictoires doit se voir dénier la capacité de postuler (ATF 147 III 351 du 25 mars 2021 consid. 6.1.3.). L'interdiction de plaider en cas de conflit d'intérêts est une règle cardinale de la profession d'avocat. Cette interdiction relève de la clause générale de l'art. 12 let. a LLCA, selon laquelle l'avocat exerce sa profession avec soin et diligence, de même que de l'obligation d'indépendance rappelée à l'art. 12 let. b LLCA (ATF 145 IV 218 consid. 2.1 p. 222). Il y a conflit d'intérêts lorsque l'avocat est restreint dans sa capacité de défendre l'un de ses clients ou qu'il peut utiliser, consciemment ou non, les connaissances d'une partie adverse acquises lors d'un mandat antérieur au détriment de celle-ci (ATF 145 IV 218 consid. 2.1 p. 222 ; ATF 141 IV 257 consid. 2.1). Un risque de conflit d'intérêts purement abstrait ou théorique ne suffit pas ; le conflit doit être concret, sans qu'il soit nécessaire qu'il se soit réalisé en ce sens que l'avocat a déjà exécuté son mandat de façon critiquable (ATF 135 II 145 consid. 9.1). L'interdiction des conflits d'intérêts ne se limite pas à la personne même de l'avocat, mais s'étend à l'ensemble de l'étude ou du groupement auquel il appartient (ATF 145 IV 218 consid. 2.2). 2.1.3. Le ministère public est responsable de l'exercice uniforme de l'action publique (art. 16 al. 1 CPP). Il lui incombe de conduire la procédure préliminaire, de poursuivre les infractions dans le cadre de l'instruction et, le cas échéant de dresser l'acte d'accusation et de soutenir l'accusation (art. 16 al. 2 CPP). Après la rédaction de l'acte d'accusation, le ministère public devient une partie aux débats, au même titre que le prévenu ou la partie plaignante (art. 104 al. 1 let. c CPP). Par définition, il n'est plus tenu à l'impartialité et il lui appartient en principe de soutenir l'accusation. Dans ce cadre, ni les art. 29 et 30 Cst., ni l'art. 6 par. 1 CEDH ne confèrent au prévenu une protection particulière lui permettant de se plaindre de l'attitude du ministère public et des opinions exprimées par celui-ci durant les débats (ATF 138 IV 142 consid. 2.2.2). 2.1.4. Le droit à un procès équitable est garanti par les art. 3 al. 2 let. c CPP, 29 al. 1 de la Constitution fédérale de la Confédération suisse (Cst.) et 6 par. 1 de la Convention de sauvegarde des droits de l'homme et des libertés fondamentales (CEDH). Le principe d'égalité des armes, découlant de ce droit, exige un " juste équilibre entre les parties " : chacune doit se voir offrir une possibilité raisonnable de présenter sa cause dans des conditions qui ne la placent pas dans une situation de net désavantage par rapport à son ou ses adversaires (arrêts de la CourEDH Avotins c. Lettonie du 23 mai 2016, § 119 ; Yvon c. France du 24 avril 2003, § 31). Au pénal, ce principe suppose un équilibre non seulement entre le prévenu et le Ministère public soutenant l'accusation, mais également entre le prévenu et la partie civile. Cette égalité doit permettre d'assurer un débat contradictoire (arrêts du Tribunal fédéral 6B_259/2016 , 6B_266/2016 du 21 mars 2017 consid. 4.3.1 ; 6B_194/2009 du 13 juillet 2009 consid. 2.1). Ce principe suppose que les parties aient un accès identique aux pièces versées au dossier (ATF 122 V 157 consid. 2b p. 163/164 ; arrêt du Tribunal fédéral 6P.125/2005 du 23 janvier 2006 consid. 4.2 ; A. KUHN / Y. JEANNERET [éds], Commentaire romand : Code de procédure pénale suisse , Bâle 2011, n. 1 ad art. 3 CPP). Toutes les pièces d'une affaire, à savoir celles réunies par les autorités, celles versées par les parties ainsi que les procès-verbaux de procédure et des auditions, doivent être réunies au dossier (art. 100 al. 1 CPP), qui doit être complet et unique. Ainsi, les pièces de moindre importance, notamment celles relatives à des investigations infructueuses, doivent également y être incluses. L'autorité n'a pas le droit de choisir certains documents à communiquer et d'en soustraire d'autres à la consultation. De plus, il ne doit pas exister de dossier officiel parallèle, par hypothèse épuré d'un certain nombre de pièces gênantes pour les autorités (A. KUHN / Y. JEANNERET [éds], Commentaire romand : Code de procédure pénale suisse , Bâle 2011, n. 11 ad art. 107).</w:t>
      </w:r>
    </w:p>
    <w:p>
      <w:r>
        <w:rPr>
          <w:b/>
        </w:rPr>
        <w:t>E. 2.2</w:t>
      </w:r>
    </w:p>
    <w:p>
      <w:r>
        <w:t>En l'occurrence, contrairement à ce que soutient l'appelant, aucun conflit d'intérêts n'est survenu dans la procédure du fait que M e E______, conseil de la partie plaignante, s'est associé à M e M______, ancien procureur ayant conduit l'instruction de la présente procédure et renvoyé l'accusation devant le TP, à compter du 1 er janvier 2022, voire dès la date d'annonce de cette association dans la presse le ______ 2021. D'une part, suite à la reddition de son ordonnance pénale du 19 juin 2020 condamnant l'appelant et à la saisine du TP, ensuite de l'opposition de l'appelant du 29 juin suivant, soit bien avant l'annonce de l'association litigieuse, le MP était devenue une partie au procès. Dans ces circonstances, à compter de cette phase, il requérait la condamnation de l'appelant, sans réserve à son égard, à l'instar de la partie plaignante. Le jugement de première instance, retenant un verdict de culpabilité à l'encontre de l'appelant, a été rendu le 29 avril 2021. En appel, tant le MP que la partie plaignante, représentée par M e E______, concluent à la confirmation de ce jugement. Dans ces conditions, les intérêts de ces parties, manifestement convergents, ne sont pas entrés en conflit lors de l'association des conseils précités. D'autre part, le dossier est contradictoire, présumé complet et exhaustif, de sorte que les parties ont accès à toutes les informations. Dès lors, il n'existe aucun risque concret que M e M______ soit en possession de renseignements incriminants supplémentaires au sujet de l'appelant, qui seraient absents du dossier, et qu'il pourrait désormais transmettre à la partie plaignante, en violation de son secret de fonction. L'appelant ne le prétend du reste pas, ni ne soutient que l'intimé aurait, depuis ladite association, allégué un élément ne ressortant pas du dossier contradictoire. Partant, la Présidente de la CPAR, exerçant la direction de la procédure, parvient à la conclusion que la demande d'interdiction de postuler formulée par l'appelant à l'encontre de M e E______, de même que sa requête visant au retrait des pièces produites par ce conseil et le MP dès le 19 octobre 2021, doivent être rejetées.</w:t>
      </w:r>
    </w:p>
    <w:p>
      <w:r>
        <w:rPr>
          <w:b/>
        </w:rPr>
        <w:t>E. 3</w:t>
      </w:r>
    </w:p>
    <w:p>
      <w:r>
        <w:t>3.1.1.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p. 82). 3.1.2. L'art. 9 CPP consacre la maxime d'accusation, laquelle découle également des art. 29 al. 2 Cst., 32 al. 2 Cst. et 6 par. 3 let. a CEDH. Selon ce principe, l'acte d'accusation définit l'objet du procès. Il doit décrire les infractions qui sont imputées au prévenu de façon suffisamment précise pour lui permettre d'apprécier, sur les plans subjectif et objectif, les reproches qui lui sont faits et préparer efficacement sa défense (art. 325 CPP ; ATF 143 IV 63 consid. 2.2 p. 65). 3.2.1. L'art. 285 ch. 1 CP réprime le comportement de celui qui, en usant de violence ou de menace, aura notamment empêché un fonctionnaire de faire un acte entrant dans ses fonctions, l'aura contraint à faire un tel acte ou se sera livré à des voies de fait sur lui pendant qu'il y procédait. Par violence, on entend ordinairement une action physique de l'auteur sur la personne du fonctionnaire. L'usage de la violence doit revêtir une certaine gravité. La menace correspond à celle de l'art. 181 CP (arrêt du Tribunal fédéral 6B_257/2010 du 5 octobre 2010 consid. 5.1 ; B. CORBOZ, Les infractions en droit suisse , 3 e éd., Berne 2010, n. 4-5 ad art. 285 et n. 3 ad art. 181 CP). Les voies de fait au sens de l'art. 285 CP doivent revêtir une certaine intensité. L'intensité de la violence doit être analysée selon les circonstances concrètes. Il suffit que la violence soit motivée par l'acte officiel et qu'elle se produise immédiatement sans qu'il y ait à examiner à quel moment l'acte officiel doit être tenu pour accompli (arrêts du Tribunal fédéral 6B_1339/2018 du 21 février 2019 consid. 2.2 ; 6B_863/2015 du 15 mars 2016 consid. 1.1 = SJ 2017 I 85). Il s'agit d'une infraction de résultat (sauf dans la dernière variante) : le moyen de contrainte illicite doit amener l'autorité ou le fonctionnaire à adopter un comportement qu'il n'aurait pas eu s'il avait eu toute sa liberté de décision ; le comportement peut consister à faire, ne pas faire ou laisser faire (B. CORBOZ, op. cit. , n. 11 ad art. 285 CP). L'infraction requiert l'intention, le dol éventuel étant suffisant (M. DUPUIS / L. MOREILLON / C. PIGUET / S. BERGER / M. MAZOU / V. RODIGARI [éds], Code pénal - Petit commentaire , 2 e éd., Bâle 2017, n. 22 ad art. 285). 3.2.2. L'art. 286 CP réprime le comportement de celui qui aura notamment empêché un fonctionnaire d'accomplir un acte entrant dans ses fonctions. L'opposition aux actes de l'autorité se distingue de l'art. 285 CP par le fait qu'il n'est pas exigé que l'auteur ait recours à la violence ou à la menace (M. DUPUIS et al. , op. cit. , n. 3 ad art. 286). L'acte de l'autorité correspond à toute activité entrant dans le cadre des compétences officielles du fonctionnaire concerné (M. DUPUIS et al. , op. cit. , n. 7 ad art. 286). Pour réaliser l'infraction, il suffit que l'auteur rende l'accomplissement de l'acte officiel plus difficile, l'entrave ou le diffère, sans qu'il ne soit nécessaire qu'il parvienne effectivement à l'éviter. Le comportement incriminé à l'art. 286 CP suppose une résistance qui implique une certaine activité qui est réalisée, par exemple, par le fait de prendre la fuite (ATF 133 IV 97 consid. 4.2 p. 100, ATF 127 IV 115 consid. 2 p. 117-118 ; ATF 120 IV 136 consid. 2a p. 140).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 vol. II, 3 e éd., 2010, n. 13 ad art. 286 CP). L'infraction n'est pas réalisée si l'auteur se borne à ne pas obtempérer à un ordre qui lui est donné, par exemple de souffler dans l'éthylomètre, de parler moins fort ou de ne pas conduire (ATF 127 IV 115 consid. 2 p. 117, ATF 120 IV 136 consid. 2a p. 139) ou qu'il se contente d'exprimer son désaccord à l'endroit d'un acte entrepris par un fonctionnaire, mais sans l'entraver (ATF 105 IV 48 consid. 3 p. 49). L'infraction réprimée à l'art. 286 CP requiert l'intention, le dol éventuel étant suffisant (M. DUPUIS et al. , op. cit. , n. 14 ad art. 286). 3.2.3. L'opposition aux actes de l'autorité, pour autant que ceux-là soient manifestement illégaux et que les voies de droit existantes ne donnent pas de protection suffisante, n'est pas punissable si elle tend au maintien ou au rétablissement de l'ordre légal. Il ne suffit donc pas que les conditions légales de l'acte ne soient pas remplies ; encore faut-il que l'autorité ou le fonctionnaire commette un abus d'autorité, c'est-à-dire qu'il exerce ses pouvoirs coercitifs dans un but étranger à ses fonctions ou d'une manière manifestement disproportionnée (ATF 142 IV 129 consid. 2.1 p. 132 ; arrêt du Tribunal fédéral 6B_206/2010 du 2 septembre 2010 consid. 4.2). 3.2.4. Selon le règlement genevois sur le régime intérieur de la prison et le statut des personnes incarcérées (RRIP), les détenus doivent notamment observer les ordres du personnel pénitentiaire (art. 40). Il leur est interdit, d'une façon générale, de troubler l'ordre et la tranquillité de l'établissement (art. 45 let. h). 3.2.5. La direction donne au personnel les ordres relatifs au classement des détenus. Demeurent réservées les instructions spéciales émanant de la direction générale de l'office cantonal de la détention ou de l'autorité judiciaire (art. 14 al. 1 RRIP). En règle générale et indépendamment des dispositions de l'art. 13 (séparation des détenus en raison de leur sexe et de leur statut de prévenu/condamné/adolescent), le classement s'effectue d'après l'âge des détenus, la gravité et la nature des actes qui leur sont imputés (art. 14 al. 2 RRIP). 3.3.1. En l'espèce, il est établi et non contesté que, dans la matinée du 28 juillet 2019, alors qu'il était détenu à la prison de I______ à Genève, l'appelant a refusé de réintégrer sa cellule à la suite de la promenade, au motif que l'espace était occupé par des fumeurs et que la fumée passive lui occasionnait des problèmes de santé. Contrairement à ce que soutient l'appelant, il ressort des images de vidéosurveillance recueillies, de même que des déclarations des gardiens entendus, qu'il ne s'est pas contenté d'exprimer son désaccord face à leur injonction de réintégrer sa cellule, mais qu'il leur a opposé une résistance physique active. En effet, après avoir cherché à s'éloigner de la porte d'entrée de sa cellule, contraignant les agents à tenter de l'y reconduire au moyen d'une prise d'escorte, l'appelant ne s'est pas laissé emmener, s'arc-boutant notamment sur ses jambes, ce qui a conduit à sa mise au sol. L'appelant ne saurait ainsi être suivi lorsqu'il prétend qu'il n'aurait pas résisté aux actes des gardiens, dès lors qu'il n'aurait pas eu d'intérêt à le faire, souhaitant être conduit en cellule forte. Il a opposé aux agents une résistance physique active tout au long de la séquence des faits litigieuse. L'appelant n'est pas non plus crédible lorsqu'il soutient que les gardiens seraient intervenus sans injonction préalable. Il a lui-même indiqué dans ses premières déclarations que les agents l'avaient sommé de réintégrer sa cellule, en vain, avant d'effectuer leur clef de transport. La gestuelle de l'appelant, qui notamment secoue négativement la tête face aux gardiens sur les premières images récoltées, de même que sa résistance physique, confirme que des sommations lui avaient été faites et qu'il s'y est sciemment constamment opposé avant d'être neutralisé. Cela ressort également des témoignages des gardiens et du rapport du 28 juillet 2019. Il n'apparaît pas d'emblée établi que les agents de détention aient, dans ces circonstances, exercé des pouvoirs coercitifs étrangers à leurs fonctions ou fait preuve d'agissements disproportionnés qui seraient constitutifs d'un abus d'autorité. Il importe peu de savoir si l'appelant s'était déjà plaint plus tôt de la fumée passive subie auprès des gardiens. En effet, ceux-ci n'étaient pas compétents pour décider de la cellule où il devait être détenu, cela étant géré par la direction de l'établissement ou le personnel instruit pour ce faire. Le placement de l'appelant en cellule forte a, du reste, été ordonné à la suite des faits par le gardien chef adjoint H______, non par les agents de détention. L'appelant, qui était alors détenu depuis une semaine, ne devait pas ignorer le fonctionnement de l'établissement et le fait qu'il ne pouvait solliciter un changement de cellule en agissant de la sorte. Le fait que, tel qu'il l'explique, il a adressé un premier courrier à la direction à ce sujet en témoigne. En revanche, on ne saurait déduire des images de vidéosurveillance recueillies que l'appelant a adopté un comportement particulièrement violent ou menaçant à l'égard des gardiens, notamment envers G______, quand bien même il pouvait être énervé par sa situation. Si une griffure, constitutive de voie de fait, a été causée à l'intimé durant l'incident, celle-ci ne peut être reliée à un geste, encore moins délibéré, de l'appelant. Il existe, à tout le moins, un doute sérieux sur ce point. 3.3.2. Compte tenu de ce qui précède, à défaut d'un comportement violent ou menaçant de l'appelant envers les gardiens, et d'un rapport de causalité entre un geste délibéré de ce dernier et la griffure occasionnée à l'intimé, les faits retenus ne sauraient être qualifiés de violence ou menace commises à l'égard d'un fonctionnaire au sens de l'art. 285 CP. En revanche, le comportement de l'appelant remplit tous les éléments constitutifs de l'infraction d'empêchement d'accomplir un acte officiel selon l'art. 286 CP. Les injonctions de réintégrer la cellule formulées par les agents de détention auprès de l'appelant, de même que leurs gestes visant à l'y conduire, étaient des actes justifiés entrant typiquement dans leurs fonctions. En refusant activement et sciemment d'obtempérer à ceux-ci, l'appelant a entravé la tâche des gardiens de le replacer dans la cellule qu'il n'avait été autorisé à quitter que le temps de la promenade. Ce comportement est correctement décrit dans l'ordonnance pénale du 19 juin 2020 et la motivation des écritures de l'appelant démontre au demeurant qu'il l'a bien compris, de sorte que le principe d'accusation est respecté. Partant, l'appelant sera reconnu coupable d'empêchement d'accomplir un acte officiel au sens de l'art. 286 CP.</w:t>
      </w:r>
    </w:p>
    <w:p>
      <w:r>
        <w:rPr>
          <w:b/>
        </w:rPr>
        <w:t>E. 4</w:t>
      </w:r>
    </w:p>
    <w:p>
      <w:r>
        <w:t>4.1.1. Au sens de l'art. 14 CP, quiconque agit comme la loi l'ordonne ou l'autorise se comporte de manière licite, même si l'acte est punissable en vertu du présent code ou d’une autre loi. La jurisprudence admet l'existence de certains faits justificatifs extralégaux, à savoir qui ne sont pas réglés par le CP. Il s'agit notamment de la sauvegarde d'intérêts légitimes.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Le fait justificatif de la sauvegarde d'intérêts légitimes présuppose ainsi, en principe, que les moyens de droit aient été utilisés et les voies de droit épuisées préalablement (ATF 134 IV 216 consid. 6.1 p. 226 ; 129 IV 6 consid. 3.3 p. 14 s. ; 127 IV 166 consid. 2b p. 168 s.). 4.1.2. Aux termes de l'art. 17 CP, quiconque commet un acte punissable pour préserver d’un danger imminent et impossible à détourner autrement un bien juridique lui appartenant ou appartenant à un tiers agit de manière licite s'il sauvegarde ainsi des intérêts prépondérants. D'après l'art.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Le danger est imminent lorsqu'il n'est ni passé ni futur, mais actuel et concret, soit lorsque le péril se concrétise à brève échéance, à savoir à tout le moins dans les heures suivant l'acte punissable commis par l'auteur (ATF 147 IV 297 consid. 2.3 ; 129 IV 6 consid. 3.2 p. 14 ; 122 IV 1 consid. 3a p. 5). L'impossibilité que le danger puisse être détourné autrement implique une subsidiarité absolue (ATF 147 IV 297 consid. 2.1). Ainsi, celui qui est en mesure de s'adresser aux autorités pour parer au danger ne saurait se prévaloir de l'état de nécessité (ATF 125 IV 49 consid. 2c p. 55 s.; 6B_622/2008 du 13 janvier 2009 consid. 3.1). En d'autres termes, l'acte incriminé doit correspondre à un moyen nécessaire et proportionné, à même d'atteindre le but visé, et peser manifestement moins lourd que les intérêts que l'auteur cherche à sauvegarder (ATF 129 IV 6 consid. 3.3 p. 15). 4.1.3. Selon l'art. 7 al. 1 let. a de l'ordonnance fédérale sur la protection contre le tabagisme passif (OPTP), l'exploitant ou la personne responsable du règlement de maison peut prévoir qu'il soit permis de fumer dans des chambres d'établissements d'exécution des peines et des mesures ou d'établissements du même ordre. Les personnes se trouvant dans un établissement au sens de l'al. 1 let. a peuvent exiger à être placées dans une chambre non-fumeurs (art. 7 al. 2 OPTP). 4.1.4. D'après la loi genevoise sur l'interdiction de fumer dans les lieux publics (LIF), l'interdiction de fumer dans les lieux intérieurs ou fermés concerne notamment les établissements d'exécution des peines et mesures (art. 3 al. 1 let. g LIF). Des exceptions à l'interdiction de fumer peuvent notamment être prévues pour les cellules de détention (art. 4 al. 1 let. b LIF). 4.1.5. Aux termes de l'art. 58 RRIP, lorsqu'un détenu a une requête ou une remarque à formuler, il s'adresse au personnel. Si un différend subsiste, la direction en est saisie. Au sens de l'art. 59 al. 1 RRIP, en tout temps, la personne détenue peut adresser, sous pli fermé, une dénonciation ou une pétition au directeur de la prison, à l'autorité de placement, au directeur général de l'office cantonal de la détention, ou encore au chef du département. L'autorité saisie est compétente pour connaître de la dénonciation ou de la plainte. Est réservée la possibilité de s'adresser à la commission des visiteurs officiels du Grand Conseil, aux instances de surveillance médicales, aux autorités judiciaires ou à toute autre autorité (al. 2). L'autorité compétente peut refuser d'ouvrir une enquête si la dénonciation ou la pétition est manifestement mal fondée, notamment si elle se borne à critiquer des mesures d'organisation internes dictées par des impératifs organisationnels ou sécuritaires, ou si elle est abusive. L’autorité compétente informe le dénonciateur ou les pétitionnaires de son refus (al. 6). Le dénonciateur et les pétitionnaires n'ont pas la qualité de partie à la procédure. Néanmoins, ils sont informés par écrit des suites données à la dénonciation ou à la pétition (al. 7).</w:t>
      </w:r>
    </w:p>
    <w:p>
      <w:r>
        <w:rPr>
          <w:b/>
        </w:rPr>
        <w:t>E. 4.2</w:t>
      </w:r>
    </w:p>
    <w:p>
      <w:r>
        <w:t>L'appelant ne peut se prévaloir d'aucun motif justificatif. Quand bien même l'art. 7 al. 2 OPTP prévoit que les détenus peuvent exiger d'être placés dans une chambre non-fumeurs, une telle disposition n'autorisait pas l'appelant à s'opposer activement et subitement aux ordres des agents de détention de réintégrer sa cellule comme il l'a fait. Tel que relevé précédemment, il ne pouvait ignorer que ceux-ci n'étaient pas compétents pour décider d'un autre espace de détention. Il pouvait et devait s'adresser aux autorités compétentes par les moyens de communication, voire de droit, utiles, plutôt que de commettre l'infraction pénale constatée, quitte à multiplier ses requêtes écrites pour obtenir une réponse à court terme. Au surplus, même si la fumée passive est mauvaise pour la santé, il n'était alors pas exposé à danger imminent, actuel et concret justifiant son comportement.</w:t>
      </w:r>
    </w:p>
    <w:p>
      <w:r>
        <w:rPr>
          <w:b/>
        </w:rPr>
        <w:t>E. 5.1</w:t>
      </w:r>
    </w:p>
    <w:p>
      <w:r>
        <w:t>L'empêchement d'accomplir un acte officiel est réprimé par une peine pécuniaire de 30 jours-amende au plus (art. 286 CP). 5.2.1. D'après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5.2.2.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5.2.3. Au sens de l'art. 54 CP, si l'auteur a été directement atteint par les conséquences de son acte au point qu’une peine serait inappropriée, l’autorité compétente renonce à le poursuivre, à le renvoyer devant le juge ou à lui infliger une peine.</w:t>
      </w:r>
    </w:p>
    <w:p>
      <w:r>
        <w:rPr>
          <w:b/>
        </w:rPr>
        <w:t>E. 5.3</w:t>
      </w:r>
    </w:p>
    <w:p>
      <w:r>
        <w:t>La faute de l'appelant n'est pas négligeable. Il a activement empêché les agents de détention de le réintégrer dans la cellule où il était détenu à la prison, alors qu'il n'avait été autorisé à en sortir que pour la promenade. Il les a, de ce fait, contraint à recourir à des actes coercitifs et a troublé passablement l'ordre de l'établissement pénitentiaire. Il a certes agi afin d'éviter d'être exposé à la fumée passive et de préserver sa santé, mais, tel que développé précédemment, cela ne saurait justifier son comportement, dès lors qu'il pouvait et devait agir autrement. Il a ainsi fait preuve de mépris envers l'autorité pour des considérations personnelles. La collaboration de l'appelant à la procédure ne peut être jugée bonne. S'il a d'emblée concédé avoir refusé de réintégrer sa cellule, il n'a pas reconnu la résistance physique active dont il a fait preuve envers les gardiens. Au vu de son sentiment persistant d'avoir agi à bon droit, sa prise de conscience est nulle et doit être encore amorcée. Rien dans la situation personnelle de l’appelant ne saurait justifier son comportement. Il a un antécédent, toutefois ancien et non spécifique. Au vu de ces éléments, une exonération de peine fondée sur l'art. 54 CP ne se justifie pas, les conséquences des actes de l'appelant n'ayant pas été si importantes pour lui qu'elles mériteraient un tel traitement au regard de sa faute et le prononcé d'une sanction apparaissant nécessaire pour des motifs de prévention spéciale. Seul le prononcé d'une peine pécuniaire entre en ligne de compte. Au vu de la déqualification retenue et des éléments précités, une quotité de 20 jours-amende apparaît adéquate pour sanctionner la faute de l'appelant. Le montant de CHF 30.- l’unité est par ailleurs approprié à sa situation personnelle. Le bénéfice du sursis lui est acquis (art. 42 al. 1 CP et art. 391 al. 2 CPP), la durée du délai d’épreuve arrêtée à trois ans étant justifiée (art. 44 al. 1 CP). Le jugement entrepris sera ainsi réformé dans cette mesure, ce qui emporte une admission très partielle de l'appel interjeté.</w:t>
      </w:r>
    </w:p>
    <w:p>
      <w:r>
        <w:rPr>
          <w:b/>
        </w:rPr>
        <w:t>E. 6</w:t>
      </w:r>
    </w:p>
    <w:p>
      <w:r>
        <w:t>Au vu de ce qui précède, l'appelant supportera deux tiers des frais de la procédure d'appel, comprenant un émolument de CHF 2'000.-, le solde étant laissé à la charge de l'Etat (art. 428 CPP et art. 14 al. 1 let. e du Règlement fixant le tarif des frais en matière pénale). Compte tenu du verdict de culpabilité retenu, il n'y a pas lieu de revoir la répartition des frais fixée en première instance (art. 428 al. 3 CPP), ni de revenir sur le rejet par le premier juge des conclusions en indemnisation pour les frais de défense du prévenu (art. 429 CPP).</w:t>
      </w:r>
    </w:p>
    <w:p>
      <w:r>
        <w:rPr>
          <w:b/>
        </w:rPr>
        <w:t>E. 7</w:t>
      </w:r>
    </w:p>
    <w:p>
      <w:r>
        <w:t>7.1.1.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7.1.2. À teneur de l'art. 118 al. 1 CPP, seul peut se constituer partie plaignante le lésé qui déclare expressément vouloir participer à la procédure pénale comme demandeur au pénal ou au civil. Selon l'art. 115 al. 1 CPP, il faut entendre par lésé toute personne dont les droits ont été touchés directement par une infraction. Il convient d'interpréter le texte de l'infraction pour déterminer le titulaire du bien juridique ou du droit protégé par la loi et ainsi savoir qui a qualité de lésé (ATF 119 Ia 342 consid. 2 p. 345 ; 119 IV 339 consid. 1d/aa p. 343 ; A. KUHN / Y. JEANNERET [éds], Commentaire romand : Code de procédure pénale suisse , Bâle 2011, n. 8 ad art. 115). Les droits lésés directement par l'infraction doivent être des biens juridiquement individuels, tels que la vie, l'intégrité corporelle, la propriété, l'honneur ou la liberté personnelle (Message relatif à l'unification du droit de la procédure pénale [CPP] du 21 décembre 2005, FF 2006 1148). Celui dont les intérêts privés ne sont atteints qu'indirectement par une infraction qui ne lèse que des intérêts publics, n'est pas lésé au sens du droit de procédure pénale (arrêt du Tribunal fédéral 6B_243/2015 du 12 juin 2015 consid. 2 et les références = SJ 2016 I p. 125). 7.1.3. Les art. 285 et 286 CP visent à garantir le bon fonctionnement des autorités publiques suisses. Ils ont pour but de protéger l'autorité publique contre toute atteinte aux actes entrant dans ses fonctions (A. MACALUSO / L. MOREILLON / N. QUELOZ [éds], Commentaire romand, Code pénal II, vol. II, Partie spéciale : art. 111-392 CP, Bâle 2017 , n. 2 ad art. 285 et n. 1 ad art. 286) . Quand bien même la personne physique, en sa qualité de fonctionnaire ou de membre d'une autorité, ne constitue pas le bien juridique protégé par l'art. 285 CP, son intégrité corporelle ainsi que sa liberté personnelle bénéficient indirectement de cette protection, dans la mesure où l'atteinte portée au titulaire de l'autorité publique met en danger le bon fonctionnement des autorités publiques (A. MACALUSO et al., op. cit. , n. 3 ad art. 285) .</w:t>
      </w:r>
    </w:p>
    <w:p>
      <w:r>
        <w:rPr>
          <w:b/>
        </w:rPr>
        <w:t>E. 7.2</w:t>
      </w:r>
    </w:p>
    <w:p>
      <w:r>
        <w:t>Compte tenu de ce qui précède, force est de constater qu'au vu de la déqualification opérée et du verdict de culpabilité retenu à l'encontre de l'appelant du chef d'infraction à l'art. 286 CP, D______ ne peut plus prétendre à la qualité de lésé, ni de partie plaignante, seuls les intérêts de l'autorité publique étant directement atteints par cette dernière disposition. Pour ce motif, ses conclusions en indemnisation fondées sur la base de l'art. 433 CPP sont irrecevables.</w:t>
      </w:r>
    </w:p>
    <w:p>
      <w:r>
        <w:rPr>
          <w:b/>
        </w:rPr>
        <w:t>E. 8</w:t>
      </w:r>
    </w:p>
    <w:p>
      <w:r>
        <w:t>.1.2. L'activité consacrée aux conférences, audiences et autres actes de la procédure est majorée de 20% jusqu'à 30 heures de travail, décomptées depuis l'ouverture de la procédure (arrêt du Tribunal fédéral 6B_838/2015 du 25 juillet 2016 consid. 3.5.2 ; voir aussi les décisions de la Cour des plaintes du Tribunal pénal fédéral BB.2016.34 du 21 octobre 2016 consid. 4.1 et 4.2 et BB.2015.85 du 12 avril 2016 consid. 3.5.2 et 3.5.3).</w:t>
      </w:r>
    </w:p>
    <w:p>
      <w:r>
        <w:rPr>
          <w:b/>
        </w:rPr>
        <w:t>E. 8.2</w:t>
      </w:r>
    </w:p>
    <w:p>
      <w:r>
        <w:t>Les états de frais produits par la défenseure d'office de l'appelant apparaissent globalement excessifs. Les faits reprochés à l'appelant ne relevaient pas d'une complexité telle qu'il fallait consacrer plus de 8h00 à la rédaction du mémoire d'appel, 1h30 à celle de la réplique et 1h00 aux déterminations relatives à la requalification des faits, tous intervenants confondus. Dès lors, le premier état de frais sera admis à raison de 9h45 d'activité de cheffe d'étude (CHF 1'950.-), non soumises à TVA selon les indications données, et forfait pour l'activité diverse dû en sus (CHF 390.-). La seconde note d'honoraire sera, quant à elle, avalisée à hauteur de 6h10 d'activité de cheffe d'étude (CHF 1'233.35), forfait pour l'activité diverse (CHF 246.70) et TVA dus en sus (CHF 113.95). La rémunération de M e C______ sera donc arrêtée à CHF 3'934.- (CHF 1'950.- + CHF 390.- + CHF 1'233.35 + CHF 246.70 et CHF 113.95), indemnité qui apparaît globalement adéquate pour défendre le dossier en 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