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P/18089/2013 vom 31. Januar 2014</w:t>
      </w:r>
    </w:p>
    <w:p>
      <w:r>
        <w:t>GE Cour de justice, 2014-01-31, FR</w:t>
      </w:r>
    </w:p>
    <w:p>
      <w:r>
        <w:rPr>
          <w:b/>
        </w:rPr>
        <w:t xml:space="preserve">Quelle: </w:t>
      </w:r>
      <w:r>
        <w:t>https://mcp.opencaselaw.ch/entscheid/ge_gerichte_P_18089_2013</w:t>
      </w:r>
    </w:p>
    <w:p>
      <w:r>
        <w:t>FR: GE_GERICHTE P/18089/2013 du 31 janvier 2014</w:t>
      </w:r>
    </w:p>
    <w:p>
      <w:r>
        <w:t>IT: GE_GERICHTE P/18089/2013 del 31 gennaio 2014</w:t>
      </w:r>
    </w:p>
    <w:p>
      <w:pPr>
        <w:pStyle w:val="Heading2"/>
      </w:pPr>
      <w:r>
        <w:t>Regeste</w:t>
      </w:r>
    </w:p>
    <w:p>
      <w:r>
        <w:t>CONDITION DE RECEVABILITÉ; RÉVISION(DÉCISION) | CPP.410.1.a; CPP.412.1.2; CPP.428.1</w:t>
      </w:r>
    </w:p>
    <w:p>
      <w:pPr>
        <w:pStyle w:val="Heading2"/>
      </w:pPr>
      <w:r>
        <w:t>Erwägungen</w:t>
      </w:r>
    </w:p>
    <w:p>
      <w:r>
        <w:rPr>
          <w:b/>
        </w:rPr>
        <w:t>E. 1</w:t>
      </w:r>
    </w:p>
    <w:p>
      <w:r>
        <w:t>1.1 La révision n'est visée, explicitement ou implicitement, par aucune des dispositions transitoires du nouveau Code de procédure pénale, du 5 octobre 2007 (CPP ; RS 312.0 ; A. KUHN / Y. JEANNERET (éds), Commentaire romand : Code de procédure pénale suisse , Bâle 2011, n. 4 ad art. 451). Au regard des particularités de la révision, il se justifie d'appliquer aux demandes de révision présentées après le 1er janvier 2011 le régime retenu pour les décisions ultérieures indépendantes (A. KUHN / Y. JEANNERET (éds), op. cit. , n. 6 ad art. 451). La seule solution praticable s'avère donc être l'application à toutes les procédures de révision, dès le 1er janvier 2011, des art. 410 et suivants CPP, en particulier 412 CPP (A. KUHN / Y. JEANNERET (éds), op. cit. , n. 9 ad art. 451).</w:t>
      </w:r>
    </w:p>
    <w:p>
      <w:r>
        <w:rPr>
          <w:b/>
        </w:rPr>
        <w:t>E. 1.2</w:t>
      </w:r>
    </w:p>
    <w:p>
      <w:r>
        <w:t>La CPAR est l'autorité compétente en matière de révision à compter du 1er janvier 2011 (art. 21 al. 1 let. b CPP cum art. 130 al. 1 let. a de la loi d'organisation judiciaire [LOJ ; E 2 05]). La demande de révision a été expédiée à la CPAR le 22 novembre 2013 conformément à l'art. 411 al. 1 et 2 dernière phrase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 s'il existe des causes de révision in abstracto " (G. PIQUEREZ/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 Kommentar zur Schweizerischen Strafprozess-ordnung (StPO) , Zurich 2010, n. 1 art. 412 CPP).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op. cit.,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Des pièces produites, il ressort que le demandeur de révision n'a jamais accepté le principe de sa condamnation et de son expulsion du territoire suisse. Depuis 2003, il n'a de cesse de dénoncer auprès des autorités helvétiques et serbes des pratiques frauduleuses de divers compatriotes qu'il rend responsables de ses malheurs judiciaires. Aucune des pièces produites en annexe de sa demande ne permet de conclure à des res nova . Ainsi en est-il : -          des démarches tendant à l'annulation de son expulsion du territoire suisse, s'agissant d'une mesure administrative qui n'a pas un lien direct avec la mesure judiciaire d'expulsion prononcée en 2003 ; -          des décisions de tribunaux serbes qui ont prononcé son acquittement, lesquelles concernent des négociations commerciales qui n'ont, prima facie , aucun rapport avec le trafic de véhicules automobiles ; -          de la plainte pénale déposée en Serbie en 2012 qui ne dit rien du sort qui lui a été donné par le Procureur de Belgrade et encore moins d'une condamnation subséquente par un tribunal. Serait-ce le cas que cela ne constituerait pas encore un fait nouveau, tant qu'un lien direct et probant ne peut être établi avec l'ensemble des faits à la base de l'arrêt de 2003, y compris pour l'accusation de faux dans les titres. A cet égard, il n'y a pas lieu de donner à la demande d'IP Berne à son homologue de Belgrade une autre valeur probante que celle tendant à obtenir de simples renseignements, étant rappelé au demeurant qu'une plainte similaire avait déjà été déposée le 11 octobre 2005 par X______ en Serbie ; -          des plaintes pénales déposées à Genève, qui ont été classées par le Procureur général, décisions validées dans un cas par l'autorité de recours ; -          des arrangements passés entre différents protagonistes qui concernent un véhicule. L'annexe y relative n'est pas signée et elle n'établit pas que le véhicule visé faisait partie du lot de ceux ayant fait l'objet des leasings frauduleux sanctionnés par le Tribunal correctionnel. Le serait-il que cela ne concernerait qu'un seul des véhicules visés, sans même que l'on connaisse le contexte de l'affaire ; -          de la demande civile en paiement, dont on ne sait rien du sort qui lui a été réservé. Dans son refus d'admettre sa culpabilité, le demandeur de révision tend à solliciter la réforme des décisions judiciaires dans lesquelles il a été mis en cause mais non entendu comme il l'aurait souhaité. Il a pris l'habitude de déposer des demandes pléthoriques contenant des bordereaux de pièces volumineux. Le succès d'une démarche de révision ne se mesurant pas au poids, il convient de réserver à la présente demande le même sort que celui qui a été apparemment donné à la demande déposée en 2007 auprès du Procureur général de Genève, dont les conclusions rejoignent d'ailleurs celles de la présente demande de révision. Au vu de ce qui précède, la demande de révision doit être déclarée irrecevable, en application de l'art. 412 al. 2 CPP.</w:t>
      </w:r>
    </w:p>
    <w:p>
      <w:r>
        <w:rPr>
          <w:b/>
        </w:rPr>
        <w:t>E. 3</w:t>
      </w:r>
    </w:p>
    <w:p>
      <w:r>
        <w:t>Le requérant, qui succombe, supportera les frais de la procédure envers l'État (art. 428 al. 1 CPP a contrario), lesquels comprennent une indemnité de CHF 1'000.-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