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P/18020/2024 vom 26. August 2025</w:t>
      </w:r>
    </w:p>
    <w:p>
      <w:r>
        <w:t>GE Cour de justice, 2025-08-26, FR</w:t>
      </w:r>
    </w:p>
    <w:p>
      <w:r>
        <w:rPr>
          <w:b/>
        </w:rPr>
        <w:t xml:space="preserve">Quelle: </w:t>
      </w:r>
      <w:r>
        <w:t>https://mcp.opencaselaw.ch/entscheid/ge_gerichte_P_18020_2024</w:t>
      </w:r>
    </w:p>
    <w:p>
      <w:r>
        <w:t>FR: GE_GERICHTE P/18020/2024 du 26 août 2025</w:t>
      </w:r>
    </w:p>
    <w:p>
      <w:r>
        <w:t>IT: GE_GERICHTE P/18020/2024 del 26 agosto 2025</w:t>
      </w:r>
    </w:p>
    <w:p>
      <w:pPr>
        <w:pStyle w:val="Heading2"/>
      </w:pPr>
      <w:r>
        <w:t>Regeste</w:t>
      </w:r>
    </w:p>
    <w:p>
      <w:r>
        <w:t>IN DUBIO PRO REO;VOL(DROIT PÉNAL);DOMMAGES À LA PROPRIÉTÉ(DROIT PÉNAL);FIXATION DE LA PEINE;CONCOURS D'INFRACTIONS;FRAIS DE LA PROCÉDURE;DÉFENSE D'OFFICE | CPP.10; CP.139.ch1; CP.144; CP.47; CP.49; CPP.263.al1.letb; CPP.268.al1.leta; CPP.428.al1; CPP.428.al2; CPP.135; RAJ.16</w:t>
      </w:r>
    </w:p>
    <w:p>
      <w:pPr>
        <w:pStyle w:val="Heading2"/>
      </w:pPr>
      <w:r>
        <w:t>Erwägungen</w:t>
      </w:r>
    </w:p>
    <w:p>
      <w:r>
        <w:rPr>
          <w:b/>
        </w:rPr>
        <w:t>E. 1</w:t>
      </w:r>
    </w:p>
    <w:p>
      <w:r>
        <w:t>L'appel est recevable pour avoir été interjeté et motivé selon la forme et dans les délais prescrits (art. 398 et 399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L'art. 389 al. 3 CPP règle les preuves complémentaires. Le droit d'être entendu n'empêche en effet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p. 64 ; arrêt du Tribunal fédéral 6B_445/2016 , 6B_464/2016 , 6B_486/2016 , 6B_487/2016 , 6B_501/2016 du 5 juillet 2017 consid. 5.7.5). Le refus d'instruire ne viole ainsi le droit d'être entendu des parties que si l'appréciation anticipée de la pertinence du moyen de preuve offert, à laquelle le juge a procédé, est entachée d'arbitraire (ATF 141 I 60 consid. 3.3 p. 64 ; arrêts du Tribunal fédéral 6B_704/2017 du 28 décembre 2017 consid. 1.1 ; 6B_1369/2016 du 20 juillet 2017 consid. 2.1).</w:t>
      </w:r>
    </w:p>
    <w:p>
      <w:r>
        <w:rPr>
          <w:b/>
        </w:rPr>
        <w:t>E. 2.2</w:t>
      </w:r>
    </w:p>
    <w:p>
      <w:r>
        <w:t>L'appelant considère que l'audition du policier maître du chien " D______ " serait à même d'amener des éclaircissements utiles relatifs aux circonstances de l'arrestation, aux aptitudes du canidé ainsi qu'au processus de pistage. Son appréciation se heurte à la clarté du compte-rendu de l'opération de police et la manière dont celle-ci s'est déroulée, tout comme aux éléments en rapport avec la mise en œuvre du chien policier. Il n'y a dès lors aucune nécessité de procéder à l'audition, en particulier, du maître de " D______ ", étant précisé que la défense se garde bien de formuler les questions auxquelles elle aurait voulu que des réponses soient apportées. On relèvera que la piste suivie par le chien, qui n'a qu'une valeur indiciale, a été fructueuse puisqu'elle a permis de retrouver une partie du butin abandonné et permis l'arrestation de l'appelant, alors qu'il convient de rappeler que le chien a été mis au travail dans les instants qui ont suivi l'appel à la CECAL et le signalement d'un auteur présumé en raison de la commission flagrante de délits. On mettra encore en évidence que ce travail mené par " D______ " n'est qu'un élément parmi ceux consignés par la police dans ses rapports initiaux. Dès lors, la réquisition de preuve de l'appelant est rejetée.</w:t>
      </w:r>
    </w:p>
    <w:p>
      <w:r>
        <w:rPr>
          <w:b/>
        </w:rPr>
        <w:t>E. 3</w:t>
      </w:r>
    </w:p>
    <w:p>
      <w:r>
        <w:t>3.1.1.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 145 IV 154 consid. 1.1). 3.1.2.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 6B_642/2012 du 22 janvier 2013 consid. 1.1). 3.2.1. À teneur de l'art. 139 ch. 1 CP, quiconque, pour se procurer ou procurer à un tiers un enrichissement illégitime, soustrait une chose mobilière appartenant à autrui dans le but de se l'approprier est passible des peines de droit. 3.2.2. L'art. 144 al. 1 CP réprime quiconque, sans droit, endommage, détruit ou met hors d'usage une chose appartenant à autrui ou frappée d'un droit d'usage ou d'usufruit au bénéfice d'autrui. 3.2.3.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w:t>
      </w:r>
    </w:p>
    <w:p>
      <w:r>
        <w:rPr>
          <w:b/>
        </w:rPr>
        <w:t>E. 3.3</w:t>
      </w:r>
    </w:p>
    <w:p>
      <w:r>
        <w:t>La crédibilité de l'appelant n'est pas bonne. On relèvera tout d'abord que ce dernier n'est pas à une contradiction près puisqu'il a été en mesure de reconnaître avoir cassé un véhicule la même nuit, dans le même quartier, dans le cadre des faits reprochés dans la procédure P/8______/2024, mais s'est contenté de nier avoir agi de la sorte dans la présente cause, se réfugiant derrière une absence de souvenirs due à une trop forte consommation de drogue et/ou de médicaments, dont on rappellera qu'elle n'est aucunement prouvée, à l'instar de ce qu'il a avancé dans la procédure précitée. À ce sujet, l'appelant s'est exprimé à la police sans émettre de réserve concernant son état physique et/ou psychique. L'éthylomètre s'est en outre révélé négatif. Si l'appelant n'a pas eu de difficulté de reconnaître l'évidence – la rupture de ban –, il s'est dit incapable de se remémorer ce qui s'était passé à la rue 1______ dès que les questions de la police se sont montrées plus incriminantes. Interrogé sur la provenance d'effets douteux retrouvés dans sa sacoche, il n'a eu aucune peine à s'adjuger certains d'eux, qui n'allaient pas le charger, mais à contester avoir été le propriétaire d'autres, n'ayant là aucune peine à se souvenir qu'ils appartenaient à " M______ ", avant, ultérieurement, de se dégager de toute responsabilité concernant les émetteurs codés, déclarant qu'il ne savait pas de ce qu'il en retournait. Il a également contesté s'être opposé à son interpellation, et cela de manière contraire à la vérité, foi devant être accordée aux constats de la police. L'appelant s'est enfin contredit au sujet de sa présence en Suisse, expliquant dans un premier temps qu'à l'issue de sa dernière interpellation, il avait regagné la France, puis ultérieurement qu'il était demeuré en Suisse. Dès lors, l'appelant ne peut être suivi lorsqu'il a expliqué certes avoir été aux côtés de " M______ ", cette nuit-là, mais ne rien savoir de ce que celui-ci faisait aux abords des véhicules ciblés. La Cour accordera du crédit aux observations de la police, celle-ci étant intervenue sur la base d'un signalement alors que les infractions étaient en cours, l'appelant et son comparse étant en train de repérer des véhicules. Ces observations sont confortées par les éléments révélés tout au long de la piste suivie par le chien policier, qui a mené à l'arrestation de l'appelant et à la découverte d'une partie du butin sur son chemin de fuite. Par ailleurs, la piste suivie a permis logiquement de retrouver dans un périmètre restreint, après que " D______ " ait découvert le couvre-chef de l'un des fuyards, des trottinettes abandonnées le long de la Voie Verte. Il est ainsi établi que l'appelant s'est rendu sans droit à Genève, cette nuit-là, en compagnie de " M______ " dans le but de s'en prendre à des véhicules parqués sur la voie publique, en étant prêt à les ouvrir, le cas échéant, par effraction, par un bris de vitre, ce que chacun d'eux a fait, à tout le moins, au préjudice de deux de ces voitures stationnées à la rue 1______, aux fins de mettre la main sur n'importe quel butin. Il doit être considéré que chacun d'eux couvrait l'autre lorsqu'il agissait en force, en faisant le guet. Lorsque la police est intervenue et s'est légitimée, tous deux ont pris la fuite et se sont séparés, abandonnant une partie du butin prélevé, dont un portemonnaie rouge, un sac rempli de linges et une paire de lunettes dérobés à l'intérieur du véhicule de la plaignante C______. Le fait pour l'appelant de s'enfuir devant la police a été provoqué tant par l'arrivée de celle-ci qu'en raison de sa situation illégale, puisqu'il contrevenait à l'expulsion judiciaire prononcée à son encontre. Il s'ensuit que sa culpabilité des chefs de vol et de dommages à la propriété reconnue par le premier juge, sera confirmée, le prévenu ayant agi de concert avec " M______ ", et son appel, partant, rejeté sur ce point.</w:t>
      </w:r>
    </w:p>
    <w:p>
      <w:r>
        <w:rPr>
          <w:b/>
        </w:rPr>
        <w:t>E. 4</w:t>
      </w:r>
    </w:p>
    <w:p>
      <w:r>
        <w:t>4.1. Le vol est passible d'une peine privative de liberté de cinq ans au plus ou d'une peine pécuniaire, alors que tant les dommages à la propriété que la rupture de ban sont réprimés par une peine privative de liberté de trois ans au plus ou par une peine pécuniaire. 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p. 244 ss).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 ème éd., Bâle 2013, n. 130 ad art. 47 CP ; arrêt du Tribunal fédéral 6B_1202/2014 du 14 avril 2016 consid. 3.5.). En général, la culpabilité de l'auteur est amplifiée du fait qu'il n'a pas tenu compte de l'avertissement constitué par la précédente condamnation, sa rechute témoignant d'une incapacité à tirer un enseignement des expériences passées (L. MOREILLON / A. MACALUSO / N. QUELOZ / N. DONGOIS (éds), Commentaire romand, Code pénal I, art. 1-110 CP, 2 ème éd., Bâle 2021, n. 54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4.2.3.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4.2.4. Le juge suspend en règle générale l'exécution d'une peine pécuniaire ou d'une peine privative de liberté de deux ans au plus lorsqu'une peine ferme ne paraît pas nécessaire pour détourner l'auteur d'autres crimes ou délits (art. 42 al. 1 CP).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 Si, durant les cinq ans qui précèdent l'infraction, l'auteur a été condamné à une peine privative de liberté ferme ou avec sursis de plus de six mois, il ne peut y avoir de sursis à l'exécution de la peine qu'en cas de circonstances particulièrement favorables (art. 42 al. 2 CP).</w:t>
      </w:r>
    </w:p>
    <w:p>
      <w:r>
        <w:rPr>
          <w:b/>
        </w:rPr>
        <w:t>E. 4.3</w:t>
      </w:r>
    </w:p>
    <w:p>
      <w:r>
        <w:t>En l'espèce, la faute du prévenu est importante. Il a agi à l'encontre du patrimoine d'autrui et au mépris de décisions de justice prises à son encontre, en vue du maintien de la sécurité publique. Il a agi par appât du gain facile et par pure convenance personnelle, et seule l'intervention de la police a mis un terme à ses agissements. Sa situation personnelle, qu'il présente comme correcte en France s'il fallait le suivre, aurait dû lui permettre d'éviter toute récidive. Ses antécédents sont mauvais et spécifiques. Il y a concours d'infractions, facteur d'aggravation de la peine. Sa collaboration, à l'instar de ce que le TP a retenu, n'a pas été bonne, dès lors qu'il n'a que partiellement reconnu les faits reprochés, qui plus est ceux ne souffrant d'aucune contestation, alors qu'il a tergiversé, se perdant dans des explications oiseuses. Sa prise de conscience et son amendement sont inexistants. Les condamnations passées n'ont eu aucune influence sur lui, qui a encore été condamné après le jugement attaqué et persiste dans la délinquance, ce qui commande la sévérité. Au vu de ce qui précède, seule une peine privative de liberté entre en considération. En effet, le pronostic est défavorable, outre que l'appelant a été condamné en 2021, soit moins de cinq ans avant les présents faits, à une peine privative de liberté supérieure à six mois (cf. art. 42 al. 2 CP). Le vol impose une peine privative de liberté de base de trois mois, laquelle sera augmentée d'un mois (peine théorique : 45 jours) pour les dommages à la propriété et de deux mois (peine théorique : trois mois) pour la rupture de ban. Dès lors, la peine fixée par le TP à 180 jours de peine privative de liberté, sous déduction de deux jours de détention avant jugement, s'avère adéquate et sera confirmée. Partant, l'appel sera rejeté sur ce point.</w:t>
      </w:r>
    </w:p>
    <w:p>
      <w:r>
        <w:rPr>
          <w:b/>
        </w:rPr>
        <w:t>E. 5</w:t>
      </w:r>
    </w:p>
    <w:p>
      <w:r>
        <w:t>5.1.1. Selon l'art. 263 al. 1 CPP, des objets et des valeurs patrimoniales appartenant au prévenu ou à des tiers peuvent être mis sous séquestre, lorsqu'il est probable qu'ils seront utilisés pour garantir le paiement des frais de procédure, des peines pécuniaires, des amendes et des indemnités (let. b). 5.1.2. À teneur de l'art. 267 al. 1 CPP, si le motif du séquestre disparaît, le ministère public ou le tribunal lève la mesure et restitue les objets et valeurs patrimoniales à l'ayant droit. 5.1.3.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La confiscation d'objets dangereux constitue une atteinte à la garantie de la propriété selon l'art. 26 de la Constitution fédérale de la Confédération suisse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(subsidiarité ; ATF 137 IV 249 consid. 4.4 et 4.5 ; arrêt du Tribunal fédéral 6B_35/2017 du 26 février 2018 consid. 9.1).</w:t>
      </w:r>
    </w:p>
    <w:p>
      <w:r>
        <w:rPr>
          <w:b/>
        </w:rPr>
        <w:t>E. 5.2</w:t>
      </w:r>
    </w:p>
    <w:p>
      <w:r>
        <w:t>En l'occurrence, le premier juge ne s'est pas exprimé sur les raisons pour lesquelles il fallait prononcer la confiscation des montres et colliers saisis sur l'appelant. À raison, ce dernier fait observer qu'il a donné des explications sur l'origine de ses effets, en particulier s'agissant du bracelet de sa montre de marque K______ abîmé. Il n'a pas été mis en défaut par le MP et la police n'a pas démontré que lesdits effets seraient le produit d'un vol. Il s'ensuit que les pièces visées sous chiffres 2 – à l'exception de la montre de marque K______, au vu de sa valeur supposée – et 4 de l'inventaire n° 45979420240804 devront être restituées à l'appelant. Il n'y a en effet plus de motif au maintien d'un séquestre sur ces biens, si ce n'est sur la montre K______ en question, laquelle demeurera saisie en garantie du paiement des frais de justice (art. 263 al. 1 let. b et 268 al. 1 let. a CPP). Partant, l'appel est en partie fondé sur ce point accessoire et le dispositif sera modifié en conséquence.</w:t>
      </w:r>
    </w:p>
    <w:p>
      <w:r>
        <w:rPr>
          <w:b/>
        </w:rPr>
        <w:t>E. 6.1</w:t>
      </w:r>
    </w:p>
    <w:p>
      <w:r>
        <w:t>Selon l'art. 428 al. 1 CPP, les frais de la procédure de recours sont mis à la charge des parties dans la mesure où elles ont obtenu gain de cause ou succombé. L'art. 428 al. 2 CPP introduit des exceptions à cette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(let. a) ou si la modification de la décision est de peu d'importance (let. b). Cet alinéa revêt le caractère d'une norme potestative (Kann-Vorschrift), dont l'application ne s'impose pas au juge mais relève de son appréciation. La question de savoir si la modification de la décision est de peu d'importance s'apprécie selon les circonstances concrètes du cas d'espèce (arrêt du Tribunal fédéral 1B_575/2011 du 29 février 2012 consid. 2.1 ; M. NIGGLI / M. HEER / H. WIPRÄCHTIGER, Schweizerische Strafprozessordnung / Schweizerische Jugendstrafprozessordnung, Basler Kommentar StPO/JStPO, Bâle 2014, 3 e éd., n. 21 ad art. 428). La modification sera par exemple de peu d'importance si la partie attaquant le jugement dans son ensemble n'obtient gain de cause que sur un point accessoire ou si la décision est uniquement modifiée dans le cadre du pouvoir d'appréciation du juge (arrêt du Tribunal fédéral 6B_44/2020 du 16 septembre 2020 consid. 11.1.1).</w:t>
      </w:r>
    </w:p>
    <w:p>
      <w:r>
        <w:rPr>
          <w:b/>
        </w:rPr>
        <w:t>E. 6.2</w:t>
      </w:r>
    </w:p>
    <w:p>
      <w:r>
        <w:t>L'appelant n'obtient gain de cause que sur un point accessoire, notamment parce que le prononcé de la confiscation de ses montres et colliers n'était pas motivé. Aussi, il supportera, conformément à l'art. 428 al. 1 et 2 CPP, l'entier des frais de la procédure envers l'État (art. 428 CPP), y compris un émolument d'arrêt de CHF 1'200.-. Il n'y a pas, par identité de motif, de raison suffisante à revoir les frais de première instance (art. 428 al. 3 CPP).</w:t>
      </w:r>
    </w:p>
    <w:p>
      <w:r>
        <w:rPr>
          <w:b/>
        </w:rPr>
        <w:t>E. 7</w:t>
      </w:r>
    </w:p>
    <w:p>
      <w:r>
        <w:t>7.1.1.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 (RAJ) s'applique. L'art. 16 al. 1 let. c RAJ prescrit que le tarif horaire est de CHF 110.- pour un avocat-stagiaire (let. a) et de CHF 150.- pour un collaborateur (let. b).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 déclaration d'appel (ordonnance de la Cour des plaintes du Tribunal pénal fédéral BB.2014.51 du 21 novembre 2014 consid. 2.1).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7.2</w:t>
      </w:r>
    </w:p>
    <w:p>
      <w:r>
        <w:t>En l'occurrence, l'activité portée à l'état de frais concernant la déclaration d'appel n'avait pas à l'être, celle-ci étant englobée dans l'activité indemnisée à titre forfaitaire. Les recherches juridiques, vu la jurisprudence bien établie, n'ont pas à être prises à charge par l'AJ, d'autant que la présente affaire, exempte d'une quelconque difficulté, ne justifiait aucune recherche spécifique sur le plan du droit. Tant le travail facturé sur le dossier que le temps consacré à la rédaction du mémoire d'appel (27h30 au total) sont sans adéquation avec la nature de la cause, qui ne présente aucune complexité, et l'AJ n'a pas vocation à assumer la formation de l'avocat-stagiaire, comme rappelé ci-avant. Seule une dizaine de pages du mémoire d'appel était directement utile à trancher celui-ci, raison pour laquelle, prises au tarif du collaborateur (le plus haut de l'état de frais), ce ne sont que les heures facturées à ce titre qui seront prises en compte, soit 7h30, auxquelles le forfait (à 20%) sera ajouté. En conclusion, la rémunération du défenseur d'office sera arrêtée à CHF 1'459.35 correspondant à 7h30 d'activité au tarif de CHF 150.-/heure plus la majoration forfaitaire de 20% et l'équivalent de la TVA au taux de 8.1% en CHF 109.35.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