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P/17982/2012 vom 18. Februar 2025</w:t>
      </w:r>
    </w:p>
    <w:p>
      <w:r>
        <w:t>GE Cour de justice, 2025-02-18, FR</w:t>
      </w:r>
    </w:p>
    <w:p>
      <w:r>
        <w:rPr>
          <w:b/>
        </w:rPr>
        <w:t xml:space="preserve">Quelle: </w:t>
      </w:r>
      <w:r>
        <w:t>https://mcp.opencaselaw.ch/entscheid/ge_gerichte_P_17982_2012</w:t>
      </w:r>
    </w:p>
    <w:p>
      <w:r>
        <w:t>FR: GE_GERICHTE P/17982/2012 du 18 février 2025</w:t>
      </w:r>
    </w:p>
    <w:p>
      <w:r>
        <w:t>IT: GE_GERICHTE P/17982/2012 del 18 febbraio 2025</w:t>
      </w:r>
    </w:p>
    <w:p>
      <w:pPr>
        <w:pStyle w:val="Heading2"/>
      </w:pPr>
      <w:r>
        <w:t>Regeste</w:t>
      </w:r>
    </w:p>
    <w:p>
      <w:r>
        <w:t>VOL(DROIT PÉNAL);TENTATIVE(DROIT PÉNAL);RETRAIT(VOIE DE DROIT) | CP.139; CP.22; CPP.386; CPP.389; CPP.139.al2</w:t>
      </w:r>
    </w:p>
    <w:p>
      <w:pPr>
        <w:pStyle w:val="Heading2"/>
      </w:pPr>
      <w:r>
        <w:t>Erwägungen</w:t>
      </w:r>
    </w:p>
    <w:p>
      <w:r>
        <w:rPr>
          <w:b/>
        </w:rPr>
        <w:t>E. 1</w:t>
      </w:r>
    </w:p>
    <w:p>
      <w:r>
        <w:t>1.1.1. L'appel est recevable pour avoir été interjeté et motivé selon la forme et dans les délais prescrits (art. 398 et 399 CPP). Cela étant, il faut constater que ledit appel n'a pas été maintenu en ce qui concerne les occurrences D______ et T______. 1.1.2. Quiconque a interjeté un recours peut le retirer s'agissant d’une procédure orale, avant la clôture des débats (art. 386 al. 2 let. a CPP). Le retrait est définitif, sauf si la partie a été induite à faire sa déclaration par une tromperie, une infraction ou une information inexacte des autorités (art. 386 al. 3 CPP). 1.1.3. Sous réserve de l'hypothèse visée à l'art. 404 al. 2 CPP, non pertinente ici, l'étendue de la saisine de la juridiction d'appel est en premier lieu définie par le choix des parties d'attaquer tel ou tel point du jugement de première instance. Dès lors, selon l'art. 399 al. 3 et 4 CPP, la partie qui déclare appel ou appel joint (cf. art. 401 al. 1 CPP) doit indiquer dans la déclaration d'appel si le jugement est entrepris dans son ensemble ou sur certains points uniquement et quelles sont les modifications demandées. Ultérieurement, au long du déroulement de la procédure d'appel, cette même partie est requise de donner des manifestations de sa volonté de persister dans ses conclusions, dans la mesure où le défaut, sans excuse valable, aux débats d'appel, l'omission de déposer un mémoire écrit ou le fait de se placer dans l'impossibilité d'être citée, sont assimilés à un retrait de l'appel (art. 407 al. 1 CPP ; ATF 148 IV 362 consid. 1.9.2 ; voir également ATF 149 IV 259 consid. 2.4.2 ; AARP/278/2024 du 6 août 2024 ; AARP/334/2022 du 7 novembre 2022 ; AARP/424/2021 du 13 décembre 2021 ; AARP/206/2018 du 27 avril 2018). 1.1.4. En précisant spontanément, par la voix de son avocat, à l'ouverture des débats ne plus contester sa culpabilité du chef de vol pour l'occurrence D______, l'appelant a valablement et définitivement retiré son appel sur ce point. On ne saurait en inférer autre chose (malgré la plaidoirie contradictoire de la défense sur ce point), celui-ci ayant précisé maintenir ses autres conclusions, ce qui confirme son intention de retirer la conclusion en question, et ayant réitéré qu'il admettait le cas lors de son audition. Par ailleurs, en se contentant, à l'issue des débats, de s'en rapporter à justice sur l'occurrence T______, sans d'ailleurs que la défense n'eût évoqué les faits litigieux ou développé le moindre argument juridique, l'appelant n'a pas manifesté que sa volonté était, encore et toujours, d'obtenir la modification du jugement demandée dans la déclaration d'appel. Il faut donc considérer qu'il a retiré son appel sur ce point.</w:t>
      </w:r>
    </w:p>
    <w:p>
      <w:r>
        <w:rPr>
          <w:b/>
        </w:rPr>
        <w:t>E. 1.2</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 Selon l'art. 339 al. 2 CPP, le tribunal et les parties peuvent soulever des questions préjudicielles, notamment concernant les preuves recueillies (let. d). D'après l'art. 389 al. 1 CPP, la procédure de recours se fonde sur les preuves administrées pendant la procédure préliminaire et la procédure de première instance. L'autorité de recours administre, d'office ou à la demande d'une partie, les preuves complémentaires nécessaires au traitement du recours (al. 3). Conformément à l'art. 139 al. 2 CPP, il n'y a pas lieu d'administrer des preuves sur des faits non pertinents, notoires, connus de l'autorité ou déjà suffisamment prouvés.</w:t>
      </w:r>
    </w:p>
    <w:p>
      <w:r>
        <w:rPr>
          <w:b/>
        </w:rPr>
        <w:t>E. 2.2</w:t>
      </w:r>
    </w:p>
    <w:p>
      <w:r>
        <w:t>L'apport des relevés téléphoniques du numéro utilisé par l'appelant entre 2011 et 2014 ne parait pas réalisable plus de dix ans après les faits, ce que l'appelant a d'ailleurs concédé lors de la plaidoirie de son conseil. Cette réquisition de preuve, qui n'est de surcroît pas nécessaire pour trancher de la cause, en état d'être jugée au regard des éléments du dossier, a, en conséquence, été rejetée.</w:t>
      </w:r>
    </w:p>
    <w:p>
      <w:r>
        <w:rPr>
          <w:b/>
        </w:rPr>
        <w:t>E. 3.1</w:t>
      </w:r>
    </w:p>
    <w:p>
      <w:r>
        <w:t>La présomption d'innocence, garantie par les art. 10 CPP, 32 al. 1 Cst., 14 par. 2 Pacte ONU II (RS 0.103.2)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doit s'agir de doutes sérieux et irréductibles, c'est-à-dire de doutes qui s'imposent à l'esprit en fonction de la situation objective (ATF 148 IV 409 consid. 2.2).</w:t>
      </w:r>
    </w:p>
    <w:p>
      <w:r>
        <w:rPr>
          <w:b/>
        </w:rPr>
        <w:t>E. 3.2</w:t>
      </w:r>
    </w:p>
    <w:p>
      <w:r>
        <w:t>À teneur de l'art. 139 ch. 1 du Code pénal [CP], quiconque, pour se procurer ou procurer à un tiers un enrichissement illégitime, aura soustrait une chose mobilière appartenant à autrui dans le but de se l'approprier sera puni d'une peine de droit. Occurrence E______ 3.3.1. La culpabilité de l'appelant est établie par la présence de son ADN sur la barre de fer ayant servi à fracturer la porte vitrée de l'établissement public. Ses explications à ce sujet, peu crédibles, soit qu'il aurait touché la barre dans son appartement ou été piégé par ses pairs, ne sont pas étayées et, partant, purement spéculatives. À cela s'ajoute qu'il a admis s'être servi deux fois d'un tel objet lors de cambriolages. 3.3.2. Partant, les faits tels que décrits dans l'acte d'accusation sous chiffre 1.1.1 sont établis et constitutifs de l'infraction de vol (art. 139 ch. 1 CP). L'appel est rejeté sur ce point. Occurrence C______ 3.4.1. À la lecture du procès-verbal de première instance, il apparaît, comme l'a relevé la défense, que l'appelant a confondu les cas C______ et D______, les aveux livrés en première instance n'ayant pu avoir trait qu'à la seconde occurrence, au vu de la description des faits (vitre brisée) et du lieu de la villa (sise en direction de Lausanne), laquelle ne correspond ni à l'emplacement ni à la configuration du premier cas. Plaide encore en ce sens le retrait de l'appel quant au cas D______ et les déclarations de l'appelant à ce sujet en appel qui affirme réitérer ses aveux depuis le TP. 3.4.2. En dépit de ce qui précède, la culpabilité de l'appelant est établie s'agissant du cas C______, ne serait-ce que par la présence de son ADN sur le manche du sécateur qui a été retrouvé sur place. Il est également mis en cause par K______, avec lequel il a déjà agi lors de l'occurrence D______ à la même période, soit en février et mars 2013. 3.4.3. Au vu des éléments qui précèdent, les dénégations de l'appelant n'emportent pas conviction et les faits décrits sous chiffre 1.1.2 de l'acte d'accusation sont établis et constitutifs de tentative de vol au sens des art. 22 al. 1 CP et 139 ch. 1 CP. L'appel est rejeté sur ce point. Occurrence R______ 3.5.1. Le 28 juillet 2014, entre 23h20 et 23h35, plusieurs individus, dont G______ (condamné pour ces faits), ont pénétré dans les sous-sols du restaurant R______ et dérobé un coffre-fort dont le contenu est décrit supra (cf. A.b 4 ème tiret), tandis que H______ (condamné pour ces faits) faisait le guet depuis l'intérieur de l'établissement. Un faisceau d'indices permet d'arriver à la conclusion que l'appelant a été partie prenante de cette opération, la thèse la plus plausible étant qu'il se fût trouvé sur place. 3.5.2. L'appelant présente une version peu vraisemblable, selon laquelle les soi-disant " I______ " et " W______ " seraient venus le chercher en voiture, après la commission du cambriolage, afin de requérir son aide pour l'ouverture (police, MP, appel) ou la dissimulation (TP) du coffre-fort dérobé. Son récit ne convainc pas à plusieurs titres, d'autant que la procédure a permis de démontrer, vu les autres occurrences désormais établies, qu'il est déjà passé à l'acte. Dans la mesure où il a partagé durant, a minima, une semaine son logement avec les deux autres cambrioleurs, dont il savait qu'ils stockaient des outils à cette fin (barre de fer), il n'apparaît pas plausible qu'il n'ait pas entendu parler, avant ce soir-là, du projet de ses camarades de cambrioler le restaurant. L'appelant concède, du reste, en appel, que le prétendu terrain auquel il avait pensé n'avait rien de particulièrement propice à la tâche sollicitée et échoue à expliquer pourquoi les deux autres individus n'auraient pas été en mesure de trouver un lieu adéquat sans lui. De surcroît, il en a rajouté, en appel, évoquant pour la première fois la barre de fer, qu'on lui avait demandé de descendre, alors qu'il avait expliqué plus tôt que des outils, dont ledit objet, se trouvaient déjà dans la voiture. On relèvera encore que le condamné G______ ne corrobore pas la version de l'appelant, expliquant qu'ils étaient directement partis en direction de la France. Enfin, comme déjà relevé ci-avant s'agissant du cas E______, l'appelant a admis s'être servi à deux reprises d'une barre de fer, dont lors du cas du coffre-fort. Vu le manque de cohérence de ses dires et les indices qui précèdent, aucune explication, hormis celle de son implication dans le cambriolage comme envisagé par l'acte d'accusation, ne permet de justifier sa présence dans la voiture, celle de son ADN sur la bouteille de soda sous le siège passager ainsi que sa fuite devant la police, dit comportement suggérant qu'il avait bien quelque chose à se reprocher. Quoi qu'en dise la défense, il est sans pertinence que ses coauteurs ne l'aient pas mis en cause, puisqu'il est fréquent, en particulier dans ce type d'affaire, que les uns et les autres ne s'accablent pas. Le fait qu'il ne soit pas identifiable sur les images de la vidéosurveillance ne signifie pas pour autant qu'il n'était pas présent, d'autant moins que, sur l'une d'elle, deux individus ne sont pas reconnaissables, vu sa piètre qualité. 3.5.3. Partant, les faits tels que décrits sous chiffre 1.1.5 de l'acte d'accusation sont établis et constitutifs d'un vol au sens de l'art. 139 ch. 1 CP.</w:t>
      </w:r>
    </w:p>
    <w:p>
      <w:r>
        <w:rPr>
          <w:b/>
        </w:rPr>
        <w:t>E. 4</w:t>
      </w:r>
    </w:p>
    <w:p>
      <w:r>
        <w:t>4.1. Le vol est passible d'une peine privative de liberté de cinq ans au plus ou d'une peine pécuniaire (art. 139 ch. 1 CP).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w:t>
      </w:r>
    </w:p>
    <w:p>
      <w:r>
        <w:rPr>
          <w:b/>
        </w:rPr>
        <w:t>E. 4.2</w:t>
      </w:r>
    </w:p>
    <w:p>
      <w:r>
        <w:t>La faute de l'appelant est sérieuse. Il s'en est pris à cinq occasions au patrimoine d'autrui. Ses mobiles sont égoïstes. Il a agi par appât du gain. La prise de conscience est inexistante, sous réserve de l'occurrence D______ reconnue depuis les premiers débats, et la collaboration du prévenu est globalement mauvaise. Il persiste à contester les faits malgré l'existence de preuves matérielles, se retranchant derrière de fausses explications. Il ne présente pas d'excuses et n'évoque pas de regrets. Sa situation personnelle, précaire selon ses dires, n'explique pas ses agissements, dans la mesure où il bénéficiait d'un emploi licite auprès de son frère dans son pays natal. Il sera tenu compte du fait qu'à une reprise l'infraction n'a été que tentée (art. 22 al. 1 CP), cet élément devant toutefois être relativisé, en ce sens que cela ne résulte pas d'un désistement de l'appelant mais du déclenchement d'une alarme. Vu le temps écoulé, soit plus des deux tiers du délai de prescription à ce jour, il sera tenu compte d'un intérêt à punir moindre (art. 48 let. e CP ; ATF 140 IV 145 ). Il n'a pas d'antécédent, ce qui a un effet neutre sur la peine.</w:t>
      </w:r>
    </w:p>
    <w:p>
      <w:r>
        <w:rPr>
          <w:b/>
        </w:rPr>
        <w:t>E. 4.3</w:t>
      </w:r>
    </w:p>
    <w:p>
      <w:r>
        <w:t>Le genre de peine est acquis à l'appelant (art. 391 al. 2 CPP). Il y a, donc, concours réel d'infractions, d'où le bénéfice du principe d'aggravation (art. 49 al. 1 CP). La première infraction de vol sera punie de 60 jours-amende. Cette peine sera aggravée de 120 jours-amende pour sanctionner les trois autres vols (40 jours-amende par infraction ; peine hypothétique : 60 jours-amende). Une peine de 20 jours-amende sera ajoutée pour sanctionner la tentative de vol (peine hypothétique : 40 jours-amende). Les 200 unités pénales seront ramenées à 150 pour tenir compte de la circonstance atténuante de l'écoulement du temps, à l'instar de ce qui avait été décidé par la première juge. Le montant du jour-amende sera fixé à CHF 20.- pour tenir compte de la situation personnelle et financière du prévenu. La détention avant jugement (69 jours) sera déduite (art. 51 CP).</w:t>
      </w:r>
    </w:p>
    <w:p>
      <w:r>
        <w:rPr>
          <w:b/>
        </w:rPr>
        <w:t>E. 4.4</w:t>
      </w:r>
    </w:p>
    <w:p>
      <w:r>
        <w:t>L'octroi du sursis est acquis à l'appelant (cf. art. 391 al. 2 CPP). La durée du délai d'épreuve de trois ans, adéquate, sera confirmée.</w:t>
      </w:r>
    </w:p>
    <w:p>
      <w:r>
        <w:rPr>
          <w:b/>
        </w:rPr>
        <w:t>E. 5</w:t>
      </w:r>
    </w:p>
    <w:p>
      <w:r>
        <w:t>5.1. En qualité de partie plaignante, le lésé peut faire valoir des conclusions civiles déduites de l'infraction par adhésion à la procédure pénale (art. 122 al. 1 CPP). En vertu de l'art. 126 al. 1 let. a CPP, le tribunal statue sur les prétentions civiles présentées lorsqu'il rend un verdict de culpabilité à l'encontre du prévenu. À teneur de l'art. 41 al. 1 du Code des obligations (CO), chacun est tenu de réparer le dommage qu'il cause à autrui d'une manière illicite, soit intentionnellement, soit par négligence ou imprudence.</w:t>
      </w:r>
    </w:p>
    <w:p>
      <w:r>
        <w:rPr>
          <w:b/>
        </w:rPr>
        <w:t>E. 5.2</w:t>
      </w:r>
    </w:p>
    <w:p>
      <w:r>
        <w:t>Au vu du malentendu relevé ci-avant (cf. consid. 3.4.1), on ne saurait retenir que l'appelant a acquiescé aux conclusions civiles de l'intimé C______. Cela étant, le plaignant ayant apporté la preuve par pièce de son dommage résultant de l'infraction, il sera fait droit aux conclusions civiles (CHF 200.- de franchise). Partant, l'appelant y sera uniquement condamné et le dispositif corrigé en ce sens.</w:t>
      </w:r>
    </w:p>
    <w:p>
      <w:r>
        <w:rPr>
          <w:b/>
        </w:rPr>
        <w:t>E. 6</w:t>
      </w:r>
    </w:p>
    <w:p>
      <w:r>
        <w:t>. L'appelant, qui succombe intégralement, supportera les frais de la procédure envers l'État, y compris un émolument d'arrêt de CHF 1'500.- (art. 428 CPP). Vu l'issue de l'appel, la répartition des frais de la procédure préliminaire et de première instance sera confirmée (art. 428 al. 3 CPP).</w:t>
      </w:r>
    </w:p>
    <w:p>
      <w:r>
        <w:rPr>
          <w:b/>
        </w:rPr>
        <w:t>E. 7</w:t>
      </w:r>
    </w:p>
    <w:p>
      <w:r>
        <w:t>.2.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7.3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idoines.</w:t>
      </w:r>
    </w:p>
    <w:p>
      <w:r>
        <w:rPr>
          <w:b/>
        </w:rPr>
        <w:t>E. 7.4</w:t>
      </w:r>
    </w:p>
    <w:p>
      <w:r>
        <w:t>Doit être retranché de l'état de frais du défenseur d'office le temps consacré à l'annonce d'appel (cinq minutes), à l'analyse du jugement (une heure et dix minutes), à la rédaction de la déclaration d'appel (trois heures et 30 minutes en tout), à l'étude du dossier (15 minutes) ainsi qu'à la rédaction des conclusions en indemnisation (15 minutes), lesquels sont rémunérés de manière adéquate par le forfait, étant encore précisé que la déclaration d'appel n'a pas besoin d'être motivée et que les conclusions en indemnisation, en définitive retirées, tenaient dans un simple courrier d'une page. Par ailleurs, une heure d'entretien avec le client était suffisante pour préparer les débats d'appel, au vu de la difficulté relative de la cause et du fait que l'avocat la connaissait pour l'avoir plaidée en première instance. L'état de frais sera réduit en conséquence. En conclusion, la rémunération sera arrêtée à CHF 1'202.10 correspondant à 4.60 heures d'activité au tarif de CHF 200.-/heure (CHF 920.-) plus la majoration forfaitaire de 10% (vu l'activité déjà indemnisée) (CHF 92.-) plus le trajet à l'audience d'appel (CHF 100.-) et l'équivalent de la TVA au taux de 8.1% en CHF 90.10.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