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P/17970/2025 vom 10. Oktober 2025</w:t>
      </w:r>
    </w:p>
    <w:p>
      <w:r>
        <w:t>GE Cour de justice, 2025-10-10, FR</w:t>
      </w:r>
    </w:p>
    <w:p>
      <w:r>
        <w:rPr>
          <w:b/>
        </w:rPr>
        <w:t xml:space="preserve">Quelle: </w:t>
      </w:r>
      <w:r>
        <w:t>https://mcp.opencaselaw.ch/entscheid/ge_gerichte_P_17970_2025</w:t>
      </w:r>
    </w:p>
    <w:p>
      <w:r>
        <w:t>FR: GE_GERICHTE P/17970/2025 du 10 octobre 2025</w:t>
      </w:r>
    </w:p>
    <w:p>
      <w:r>
        <w:t>IT: GE_GERICHTE P/17970/2025 del 10 ottobre 2025</w:t>
      </w:r>
    </w:p>
    <w:p>
      <w:pPr>
        <w:pStyle w:val="Heading2"/>
      </w:pPr>
      <w:r>
        <w:t>Regeste</w:t>
      </w:r>
    </w:p>
    <w:p>
      <w:r>
        <w:t>DÉTENTION PROVISOIRE;RISQUE DE COLLUSION;MESURE DE SUBSTITUTION À LA DÉTENTION;PROPORTIONNALITÉ | CPP.221; CPP.237; CPP.197</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revient pas sur l’existence de charges suffisantes. Il n'y a donc pas à s'y attarder, mais à renvoyer, en tant que de besoin, à la motivation adoptée par le premier juge (art. 82 al. 4 CPP; ACPR/747/2020 du 22 octobre 2020 consid. 2 et les références), qui expose les indices graves et concordants pesant sur lui.</w:t>
      </w:r>
    </w:p>
    <w:p>
      <w:r>
        <w:rPr>
          <w:b/>
        </w:rPr>
        <w:t>E. 3</w:t>
      </w:r>
    </w:p>
    <w:p>
      <w:r>
        <w:t>Le risque de collusion est, comme retenu par le TMC, ténu, et pourrait être pallié par les mesures de substitution précédemment prononcées [l’interdiction de contacter toutes les personnes concernées par la présente procédure, y compris C______].</w:t>
      </w:r>
    </w:p>
    <w:p>
      <w:r>
        <w:rPr>
          <w:b/>
        </w:rPr>
        <w:t>E. 4</w:t>
      </w:r>
    </w:p>
    <w:p>
      <w:r>
        <w:t>Le recourant conteste le risque de réitération, considérant à tout le moins que celui-ci peut être pallié par les mesures de substitution révoquées.</w:t>
      </w:r>
    </w:p>
    <w:p>
      <w:r>
        <w:rPr>
          <w:b/>
        </w:rPr>
        <w:t>E. 4.1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4.3</w:t>
      </w:r>
    </w:p>
    <w:p>
      <w:r>
        <w:t>.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237 al. 5 CPP ; arrêts du Tribunal fédéral 1B_264/2014 du 22 août 2014 consid. 3.3 ; 1B_201/2013 du 26 juin 2013 consid. 2.1 ; A. KUHN/Y. JEANNERET (éds), Précis de procédure pénale , Berne 2013, n. 15067).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 comportement, le prévenu démontre son absence de volonté de respecter les mesures qui lui ont été imposées, respectivement son incapacité à le faire (A. KUHN / Y. JEANNERET (éds), op. cit ., n. 16 ad art. 237). Une réincarcération n'est possible que lorsque les précédents motifs de détention existent toujours et que les mesures de substitution ne sont pas suffisantes (arrêt du Tribunal fédéral 1B_473/2012 du 12 septembre 2012 consid. 5. ; N. SCHMID / D. JOSITSCH, Schweizerische Strafprozessordnung : Praxiskommentar , 3 e éd. Zurich 2018, n. 20 ad art. 237 ; N. SCHMID, Handbuch des schweizerischen Strafprozessrechts , 2 e éd. Zurich 2013, p. 454), ou que d'autres mesures ne sont pas possibles (ATF 140 IV 19 consid. 2.6).</w:t>
      </w:r>
    </w:p>
    <w:p>
      <w:r>
        <w:rPr>
          <w:b/>
        </w:rPr>
        <w:t>E. 4.4</w:t>
      </w:r>
    </w:p>
    <w:p>
      <w:r>
        <w:t>En l'espèce, le recourant n’a certes pas d’antécédents judiciaires. Il est toutefois poursuivi dans la présente cause pour avoir, notamment, fait usage d’un couteau à l’encontre du plaignant durant la nuit du 12 au 13 août 2025. Ces faits sont très graves puisqu’il a été prévenu de brigandage aggravé, étant rappelé que l’intéressé – qui souffre de troubles psychiatriques – était alors en rupture de traitement et présentait des hallucinations auditives verbales, des idées délirantes de persécution et une agressivité verbale, raison pour laquelle ses médecins avaient, avant ces événements, envisagé son hospitalisation en urgence à la Clinique de F______. Ces circonstances font craindre un risque de récidive de faits de même nature à l’égard de tiers. Ce constat s’impose d’autant plus que le recourant n’a pas jugé bon de se conformer aux mesures de substitution ordonnées, en se rendant, le 4 septembre 2025, « sur un coup de tête » à Paris, puis en fuguant à nouveau de F______ les 10 et 11 suivants, ceci quand bien même son attention avait été expressément attirée, lors de la réunion de réseau du 8 septembre 2025, sur les conséquences d’une réincarcération en cas de non-respect des mesures de substitution. L’avertissement formel qui lui avait été adressé le 13 septembre 2025 par le Ministère public ne l’a pas non plus dissuadé de fuguer à nouveau les 6 et 8 octobre 2025. Un tel comportement – combiné avec la consommation d’alcool et de CBD, voire de cannabis [de la résine de cannabis ayant été retrouvée dans ses affaires personnelles], son imprévisibilité et son incapacité à respecter les règles imposées lors de son placement à F______ –, est apte à fonder un risque de récidive de nouveaux comportements répréhensibles susceptibles de porter atteinte à l’intégrité physique de tiers. Ce risque apparait d’autant plus concret au vu des explications persistantes du recourant consistant en substance à minimiser ses manquements, en invoquant seulement un dépassement d’horaires. Que le recourant soit revenu de lui-même à F______, sans commettre d’infractions de même type, n’est pas déterminant, vu la gravité des faits qui lui sont ici reprochés et l’importance de la sécurité publique qui l’emporte sur son intérêt privé. Aucune mesure de substitution n’entre en ligne de compte, en l’état, pour pallier le risque de réitération, en particulier pas le placement à F______, déjà ordonné le 14 août 2025, qui a montré ses limites dès lors que le recourant s’y est soustrait en fuguant à réitérées reprises malgré les rappels et l’avertissement formel des autorités. Seule l’expertise psychiatrique ordonnée par le Ministère public permettra de préciser les troubles psychiatriques dont souffre le recourant, d’évaluer précisément le risque de récidive de comportements dangereux pour autrui qu’il présente et les mesures susceptibles de le pallier.</w:t>
      </w:r>
    </w:p>
    <w:p>
      <w:r>
        <w:rPr>
          <w:b/>
        </w:rPr>
        <w:t>E. 5</w:t>
      </w:r>
    </w:p>
    <w:p>
      <w:r>
        <w:t>Le principe de la proportionnalité (art. 197 CPP) n'est pas violé, compte tenu de la durée de la détention ordonnée et de la peine concrètement encourue si les faits reprochés étaient confirmés. Le recourant qui invoque une meilleure prise en charge en milieu hospitalier ne démontre pas qu’il ne pourrait pas bénéficier d’un traitement adapté en milieu carcéral ni, comme allégué, qu’il ne pourrait pas obtenir de traitement médicamenteux.</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