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P/17952/2023 vom 31. Januar 2024</w:t>
      </w:r>
    </w:p>
    <w:p>
      <w:r>
        <w:t>GE Cour de justice, 2024-01-31, FR</w:t>
      </w:r>
    </w:p>
    <w:p>
      <w:r>
        <w:rPr>
          <w:b/>
        </w:rPr>
        <w:t xml:space="preserve">Quelle: </w:t>
      </w:r>
      <w:r>
        <w:t>https://mcp.opencaselaw.ch/entscheid/ge_gerichte_P_17952_2023</w:t>
      </w:r>
    </w:p>
    <w:p>
      <w:r>
        <w:t>FR: GE_GERICHTE P/17952/2023 du 31 janvier 2024</w:t>
      </w:r>
    </w:p>
    <w:p>
      <w:r>
        <w:t>IT: GE_GERICHTE P/17952/2023 del 31 gennaio 2024</w:t>
      </w:r>
    </w:p>
    <w:p>
      <w:pPr>
        <w:pStyle w:val="Heading2"/>
      </w:pPr>
      <w:r>
        <w:t>Regeste</w:t>
      </w:r>
    </w:p>
    <w:p>
      <w:r>
        <w:t>AVOCAT;CONFLIT D'INTÉRÊTS | CPP.127; LLCA.12</w:t>
      </w:r>
    </w:p>
    <w:p>
      <w:pPr>
        <w:pStyle w:val="Heading2"/>
      </w:pPr>
      <w:r>
        <w:t>Erwägungen</w:t>
      </w:r>
    </w:p>
    <w:p>
      <w:r>
        <w:rPr>
          <w:b/>
        </w:rPr>
        <w:t>E. 1</w:t>
      </w:r>
    </w:p>
    <w:p>
      <w:r>
        <w:t>Le recours a été déposé selon la forme et dans le délai prescrits (art. 385 al. 1 et 396 al. 1 CPP). Il concerne une ordonnance sujette à recours (art. 393 al. 1 let. a CPP), sur une question relevant de la compétence du Ministère public, en sa qualité d'autorité chargée de la procédure, ce que la Chambre de céans a confirmé dans un arrêt de principe du 2 novembre 2015, en rappelant que l'autorité chargée de la procédure statuait d'office et en tout temps sur la capacité de postuler d'un mandataire professionnel (art. 62 al. 1 CPP; ACPR/586/2015 et les références citées, en particulier les ATF 141 IV 257 consid. 2.2 et 138 II 162 consid. 2.5.1). Le recourant a par ailleurs qualité pour agir, ayant un intérêt juridiquement protégé à la modification ou à l'annulation de la décision querellée (art. 382 al. 1 CPP), le Tribunal fédéral ayant précisé à cet égard que les dispositions en cause, en particulier l'art. 12 de la loi fédérale sur la libre circulation des avocats (ci-après LLCA) visaient à assurer l'exercice correct de la profession d'avocat, le mandataire étant, à ce titre, directement concerné par l'objet de la contestation (ATF 138 II 162 consid. 2.2 ; ATF 135 II 145 consid. 6.2 ; arrêts du Tribunal fédéral 4D_58/2014 du 17 octobre 2014 consid. 1.3 et 1B_358/2014 du 12 décembre 2014 consid. 2). Le recours est donc recevable.</w:t>
      </w:r>
    </w:p>
    <w:p>
      <w:r>
        <w:rPr>
          <w:b/>
        </w:rPr>
        <w:t>E. 2</w:t>
      </w:r>
    </w:p>
    <w:p>
      <w:r>
        <w:t>Le recourant se plaint d'une constatation incomplète des faits par le Procureur. Dès lors que la Chambre de céans jouit d'un plein pouvoir de cognition en droit et en fait (art. 393 al. 2 CPP; ATF 137 I 195 consid. 2.3.2 ; arrêt du Tribunal fédéral 1B_524/2012 du 15 novembre 2012 consid 2.1), les éventuelles constatations incomplètes ou erronées auront été corrigées dans l'état de fait établi ci-devant. Le grief est donc rejeté.</w:t>
      </w:r>
    </w:p>
    <w:p>
      <w:r>
        <w:rPr>
          <w:b/>
        </w:rPr>
        <w:t>E. 3</w:t>
      </w:r>
    </w:p>
    <w:p>
      <w:r>
        <w:t>Le recourant soutient que les conditions d'une interdiction de postuler ne sont pas réalisées.</w:t>
      </w:r>
    </w:p>
    <w:p>
      <w:r>
        <w:rPr>
          <w:b/>
        </w:rPr>
        <w:t>E. 3.1</w:t>
      </w:r>
    </w:p>
    <w:p>
      <w:r>
        <w:t>À teneur de l'art. 127 al. 3 CPP, un conseil juridique peut défendre dans la même procédure les intérêts de plusieurs participants à la procédure dans les limites de la loi et des règles de sa profession. Les parties peuvent choisir pour conseil juridique toute personne digne de confiance, jouissant de la capacité civile et ayant une bonne réputation; la législation sur les avocats est réservée (art. 127 al. 4 CPP). L'art. 12 let. c LLCA prescrit au mandataire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références citées). 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Il y a conflit d'intérêts au sens de l'art. 12 let. c LLCA dès que survient la possibilité d'utiliser, consciemment ou non, dans un nouveau mandat les connaissances acquises antérieurement sous couvert du secret professionnel, dans l'exercice d'un premier mandat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 arrêts du Tribunal fédéral 6B_993/2022 du 18 mars 2024 consid. 2.2.1 et 1B_476/2022 du 6 décembre 2022 consid. 2.2.1 et les références citées). Dès que le conflit d'intérêts survient, l'avocat doit mettre fin à la représentation (ATF 145 IV 218 consid. 2.1 et les arrêts cités ; arrêt du Tribunal fédéral 6B_993/2022 du 18 mars 2024 consid. 2.2.1).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147 III 351 consid. 6.1.3 ; ATF 138 II 162 consid. 2.5.1 ; arrêt du Tribunal fédéral 7B_215/2024 du 6 mai 2024 consid. 2.1.1 et 2.1.2). Il y a ainsi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En revanche, si les participants donnent une version des faits identique et que leurs intérêts ne divergent pas, une défense commune est acceptable (arrêt du Tribunal fédéral 1B_613/2012 du 29 janvier 2013 consid. 2.2 ; arrêt du Tribunal fédéral 1B_7/2009 du 16 mars 2009 consid. 5.8, non publié aux ATF 135 I 261 ; JdT 2011 III 74; FELLMANN/ZINDEL [éd.] : Kommentar zum Anwaltsgesetz, 2 e éd., Zurich 2011, n. 7 ad art. 12 LLCA), notamment dans le cas d'une infraction à l’art. 118 LEI (JdT 2019 III 128).</w:t>
      </w:r>
    </w:p>
    <w:p>
      <w:r>
        <w:rPr>
          <w:b/>
        </w:rPr>
        <w:t>E. 3.2</w:t>
      </w:r>
    </w:p>
    <w:p>
      <w:r>
        <w:t>En l'occurrence, le recourant a assuré la défense des intérêts des époux C______-D______ devant l'OCIRT en lien avec les conditions de travail et de salaire de leur employée de maison. Tout au long de cette procédure, ses mandants ont fait valoir une version identique des faits, en particulier en contestant la date du début de l'engagement de leur employée, son horaire de travail et sa rémunération. On ne voit pas pour quel motif – et le Ministère public ne l'explicite pas – les précités modifieraient leur ligne de défense commune et se retrouveraient à s'accuser l'un l'autre. Si tel devait toutefois être le cas, leur représentant devrait renoncer aux deux mandats. Par conséquent, un risque concret de conflit d'intérêts n'existe pas, en l'état, dans cette procédure. La décision par laquelle le Ministère public a dénié au recourant la capacité de postuler doit, dès lors, être annulée.</w:t>
      </w:r>
    </w:p>
    <w:p>
      <w:r>
        <w:rPr>
          <w:b/>
        </w:rPr>
        <w:t>E. 4</w:t>
      </w:r>
    </w:p>
    <w:p>
      <w:r>
        <w:t>L'admission du recours ne donne pas lieu à la perception de frais (art. 428 al. 1 CPP).</w:t>
      </w:r>
    </w:p>
    <w:p>
      <w:r>
        <w:rPr>
          <w:b/>
        </w:rPr>
        <w:t>E. 5</w:t>
      </w:r>
    </w:p>
    <w:p>
      <w:r>
        <w:t>Le recourant a formé recours en personne, de sorte qu'aucune indemnité, qu'il n'a du reste pas demandée,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