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P/17940/2013 vom 27. November 2015</w:t>
      </w:r>
    </w:p>
    <w:p>
      <w:r>
        <w:t>GE Cour de justice, 2015-11-27, FR</w:t>
      </w:r>
    </w:p>
    <w:p>
      <w:r>
        <w:rPr>
          <w:b/>
        </w:rPr>
        <w:t xml:space="preserve">Quelle: </w:t>
      </w:r>
      <w:r>
        <w:t>https://mcp.opencaselaw.ch/entscheid/ge_gerichte_P_17940_2013</w:t>
      </w:r>
    </w:p>
    <w:p>
      <w:r>
        <w:t>FR: GE_GERICHTE P/17940/2013 du 27 novembre 2015</w:t>
      </w:r>
    </w:p>
    <w:p>
      <w:r>
        <w:t>IT: GE_GERICHTE P/17940/2013 del 27 novembre 2015</w:t>
      </w:r>
    </w:p>
    <w:p>
      <w:pPr>
        <w:pStyle w:val="Heading2"/>
      </w:pPr>
      <w:r>
        <w:t>Regeste</w:t>
      </w:r>
    </w:p>
    <w:p>
      <w:r>
        <w:t>CONTRAINTE(DROIT PÉNAL); VOIES DE FAIT; MENACE(DROIT PÉNAL); CONCOURS D'INFRACTIONS; VIOLENCE CONTRE LES AUTORITÉS; SURSIS À L'EXÉCUTION DE LA PEINE; AMENDEMENT(CONDAMNÉ) | CP.126.1; CP.181; CP.186; CP.285.1; CP.44; CP.94</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L'appelant ne la contestant pas, l'infraction de violation de domicile, réalisée à teneur du dossier, ne sera pas examinée ci-après.</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(ATF 99 IV 212 consid. 1a p. 215 ss ; arrêt du Tribunal fédéral 6B_877/2013 du 28 avril 2014 consid. 4.1). D'autre part, il faut que la victime ait été effectivement alarmée ou effrayée. Elle doit craindre que le préjudice annoncé se réalise. La réalisation de l'infraction de menaces ne nécessite en revanche pas, contrairement à l'infraction de contrainte, que le lésé soit influencé dans sa volonté ou sa manière d'agir (ATF 141 IV 1 consid. 3.2.3 p. 7). L'infraction est intentionnelle, le dol éventuel étant suffisant (arrêts du Tribunal fédéral 6B_877/2013 précité et 6B_307/2013 du 13 juin 2013 consid. 5.1). 2.3.1.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122 IV 322 consid. 1a p. 324 s. ;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134 IV 216 consid. 4.1 p. 218 ;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La contrainte est une infraction de résultat. Pour qu'elle soit consommée, il faut que la victime, sous l'effet du moyen de contrainte illicite, commence à modifier son comportement, subissant ainsi l'influence voulue par l'auteur (ATF 129 IV 262 consid. 2.7 p. 270). 2.3.2. Si le moyen de contrainte consiste à user de violence, les voies de fait sont englobées dans la contrainte et l'art. 126 CP n'est pas applicable (B. CORBOZ, Les infractions en droit suisse , volume I, 3 e éd., Berne 2010, n. 31 ad art. 126 et n. 43 ad art. 181 ; J. HURTADO POZO, Droit pénal : partie spéciale , nouv. éd., Genève/Zurich/Bâle 2009, n. 2490 ad art. 181). Par voies de fait au sens de l'art. 126 CP, il faut entendre des atteintes physiques qui excèdent ce qui est socialement toléré et qui ne causent ni lésions corporelles, ni dommage à la santé. Une telle atteinte peut exister même si elle n'a causé aucune douleur physique (ATF 119 IV 25 consid. 2a p. 26 ; 117 IV 14 consid. 2a p. 15 ss). Lorsque des menaces au sens de l'art. 180 CP sont utilisées comme moyen de pression pour obliger autrui à faire, à ne pas faire ou à laisser faire un acte, seul l'art. 181 CP est applicable (ATF 141 IV 1 consid. 3.2.3. p. 7 ; 99 IV 212 consid. 1b p. 216 ; arrêt du Tribunal fédéral 6B_251/2007 du 7 septembre 2007 consid. 3.1).</w:t>
      </w:r>
    </w:p>
    <w:p>
      <w:r>
        <w:rPr>
          <w:b/>
        </w:rPr>
        <w:t>E. 2.4</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La menace correspond à celle de l'art. 181 CP, même s'il n'est pas précisé qu'elle doit porter sur un dommage sérieux (arrêt du Tribunal fédéral 6B_257/2010 du 5 octobre 2010 consid. 5.1 ; B. CORBOZ, op. cit. , n. 5 ad art. 285 CP). 2.5.1. En l'espèce, l'appelant, par la voix de son conseil, a précisé durant les débats d'appel ne plus contester l'infraction de voies de fait – la mention de celle de lésions corporelles simples dans la déclaration d'appel étant de toute évidence due à une erreur de plume –. Cette infraction ayant à juste titre été retenue par le premier juge pour les faits du 31 décembre 2012 vu le certificat médical produit et les éléments figurant au dossier, il n'y a pas lieu à plus ample examen de ces premiers faits. 2.5.2. Concernant la soirée du 24 novembre 2013, la CPAR retient que les faits qui ont précédé l'arrivée de la police se sont déroulés tel que l'a décrit la partie plaignante, son récit étant constant et concordant avec le constat médical et le rapport de la police. L'appelant a du reste admis avoir arraché le téléphone des mains de son épouse et voulu l'empêcher de sortir. Il ne nie plus en appel l'avoir molestée physiquement, lui causant de la sorte des rougeurs au bras et au dos. Des menaces de mort ont sans doute possible été proférées, vu leur mention immédiate à l'arrivée de la police et les événements subséquents, détaillés de manière circonstanciée dans le rapport d'interpellation et par l'un des gendarmes présents. Outre qu'elle est contredite par les témoignages, la version des faits de l'appelant au sujet de la deuxième partie de la soirée est incompatible avec l'important dispositif policier mis en place et la durée des tractations avec les gendarmes, puis avec le groupe de négociation. La CPAR est ainsi convaincue que l'appelant, cloîtré plusieurs heures dans l'appartement, a proféré des menaces de mort tant à l'égard des policiers que de son épouse afin de les décourager d'entrer. Du point de vue de la qualification juridique, la violence physique, qualifiée de voies de fait par le premier juge, ce que la CPAR ne peut revoir (art. 391 al. 2 CPP) et les premières menaces proférées, propres à alarmer tout un chacun, ont été les moyens employés par l'appelant pour empêcher la partie plaignante d'appeler la police et de quitter l'appartement, résultat auquel il est en partie parvenu puisque celle-là n'a pu agir comme elle le souhaitait et a dû profiter de son inattention pour se réfugier chez sa voisine et téléphoner. Ainsi qu'il a pu le reconnaître au cours de la procédure, l'appelant voulait ce résultat. L'infraction de contrainte, consommée, réprime l'entier du comportement adopté et absorbe par conséquent les infractions de voies de fait et menaces. Par la suite, l'appelant a sciemment et volontairement empêché, en maintenant fermement la porte, la partie plaignante de réintégrer son domicile, tout en la menaçant de mort. Un tel comportement réalise les conditions de la contrainte. Là encore, cette infraction absorbe les menaces, manifestement proférées dans le but que la partie renonce à son projet d'entrer. Enfin, l'appelant a également empêché, notamment en usant de menaces, la police d'entrer dans l'appartement où il s'était indûment enfermé, faits constitutifs de l'infraction visée à l'art. 285 CP, correctement retenue par le premier juge. Au vu de ce qui précède, il convient de modifier le jugement entrepris en tant qu'il a reconnu l'appelant coupable de menaces au sens de l'art. 180 CP et de le confirmer pour le surplus, l'infraction de voies de faits demeurant pour les faits du 31 décembre 2012 ( supra point 2.5.1).</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let. B p. 201). Pour les peines de six mois à une année, la loi prévoit une peine privative de liberté ou une peine pécuniaire (art. 34 al. 1 et 40 1 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3.3.1.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3.3.2. L'infraction de voies de fait est passible d'une amende (art. 126 ch. 1 in fine CP). Les infractions de contrainte, violation de domicile et menace contre les autorités ou les fonctionnaires sont punies d'une peine privative de liberté de trois ans au plus ou d'une peine pécuniaire (art. 181, 186 et 285 CP).</w:t>
      </w:r>
    </w:p>
    <w:p>
      <w:r>
        <w:rPr>
          <w:b/>
        </w:rPr>
        <w:t>E. 3.4</w:t>
      </w:r>
    </w:p>
    <w:p>
      <w:r>
        <w:t>En l'espèce, la faute de l'appelant est grave. Il a réitéré des actes portant atteinte à l'intégrité physique de son épouse alors que, par la suspension de la première procédure, une seconde chance lui avait été donnée. L'appelant s'est montré incapable de respecter les décisions des autorités, civiles ou pénales, ou les injonctions de la police. Le désir de voir ses enfants, en soi compréhensible, ne justifie pas son comportement, qu'il a adopté en étant pleinement responsable à teneur de l'expertise psychiatrique, et conscient, selon ses propres dires, que son choix de se cloîtrer serait au final néfaste pour sa relation avec eux. La CPAR relève un certain égoïsme dans sa démarche, l'appelant faisant fi de ce qu'ont pu ressentir son épouse ou ses deux enfants face à son intrusion. Ses préoccupations à l'égard de ses enfants semblent en outre dépendre des circonstances, les possibilités de visite qui lui sont offertes n'étant pas saisies. La collaboration à la procédure est aussi fluctuante que les prises de conscience de l'appelant. L'appelant admet avoir besoin d'aide, mais peine à réaliser sa faute, maintenant en partie être dans son droit. Il dit parfois comprendre ce qui lui est reproché et vouloir changer, tout en adoptant un comportement en porte-à-faux avec ce qu'il déclare. Il semble toutefois qu'il n'importune désormais plus son épouse. Il y a concours entre les différentes infractions, à l'exception de celle de voies de fait, qui doit être sanctionnée séparément d'une amende. L'appelant n'a pas d'antécédents, ce qui est toutefois neutre sur la fixation de la peine (ATF 136 IV 1 consid. 2.6.4). Compte tenu de la faute de l'appelant, de ses circonstances personnelles, des concours effectivement retenus et des effets à escompter de la sanction, la CPAR estime, à l'instar du premier juge, qu'une peine privative de liberté est la sanction adaptée. Celle-ci sera arrêtée à huit mois et une amende de CHF 200.-, peine privative de liberté de substitution de deux jours, sera prononcée pour les voies de faits. Le jugement entrepris sera modifié en ce sens.</w:t>
      </w:r>
    </w:p>
    <w:p>
      <w:r>
        <w:rPr>
          <w:b/>
        </w:rPr>
        <w:t>E. 4.1</w:t>
      </w:r>
    </w:p>
    <w:p>
      <w:r>
        <w:t>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4.2.1. Pour la durée du délai d'épreuve, le juge peut ordonner une assistance de probation et imposer des règles de conduite (art. 44 al. 2 CP). L'assistance de probation doit préserver les personnes prises en charge de la commission de nouvelles infractions et favoriser leur intégration sociale (art. 93 al. 1 CP). Les règles de conduite sont consacrées à l'art. 94 CP, qui prévoit qu'elles portent notamment sur les soins médicaux et psychologiques.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106 IV 325 consid. 1 p. 327 ; arrêt du Tribunal fédéral 6B_626/2008 du 11 novembre 2008 consid. 6.1).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4.2.2. Aux termes de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l'al. 4 prévoit que le juge ou l'autorité d'exécution peut prolonger le délai d'épreuve jusqu'à concurrence de la moitié de sa durée (let. a) ; lever l'assistance de probation ou en ordonner une nouvelle (let. b) ; modifier les règles de conduite, les révoquer ou en imposer de nouvelles (let. c). Le juge peut aussi révoquer le sursis ou ordonner la réintégration dans l'exécution de la peine ou de la mesure s'il est sérieusement à craindre que le condamné ne commette de nouvelles infractions (al. 5).</w:t>
      </w:r>
    </w:p>
    <w:p>
      <w:r>
        <w:rPr>
          <w:b/>
        </w:rPr>
        <w:t>E. 4.3</w:t>
      </w:r>
    </w:p>
    <w:p>
      <w:r>
        <w:t>En l'espèce, le bénéfice du sursis, dont les conditions sont réalisées, est acquis à l'appelant (art. 391 al. 2 CPP). La durée du délai d'épreuve paraît propre à le dissuader de récidiver et est par conséquent justifiée, ce qui n'est au demeurant pas contesté. L'appelant remet en cause le principe de l'imposition de règles de conduite au motif qu'il ne pourra pas les respecter. Son incapacité à observer les règles imposées ne signifie pas que celles-ci soient contraires à son intérêt. C'est précisément la difficulté de l'appelant à se conformer à d'autres impératifs que les siens qui risque de le conduire à réitérer des agissements délictueux. Les règles de conduite fixées par le premier juge, en tant qu'elles prévoient soutien psychologique et conseil sur un plan social tout en fixant un cadre à l'appelant, paraissent dès lors particulièrement à même de l'aider et d'ainsi diminuer le risque de récidive. Celui-ci avait d'ailleurs admis devant le premier juge qu'un suivi psychothérapeutique, s'il n'était pas axé uniquement sur ses problèmes de dépendance, lui serait utile et bénéfique et s'était dit prêt à des entretiens réguliers auprès du SPI. Les règles imposées par le premier juge ne sont pas d'une rigueur excessive. Elles peuvent aisément être respectées par l'appelant, qui n'a, selon les éléments figurant au dossier, pas d'autres activités à concilier. En définitive, le seul obstacle à leur suivi réside dans le manque de volonté de l'appelant, ce qui ne saurait constituer un motif à leur abandon. S'abstenir de prononcer pour ce prétexte des règles de conduite reviendrait à conforter l'appelant dans son comportement et à cautionner d'une certaine manière son refus de se conformer aux décisions des autorités. Par ailleurs, la probabilité qu'un condamné ne respecte pas les futures règles de conduite imposées ne doit pas conduire à y renoncer, sauf à vider de leur sens les dispositions relatives aux conséquences de leur non-respect, lesquelles permettent une adaptation des règles fixées en fonction de l'évolution du condamné. Pour les motifs qui précèdent, l'assistance de probation et les règles de conduite ordonnées par le premier juge doivent être confirmées et l'appel rejeté sur ce point.</w:t>
      </w:r>
    </w:p>
    <w:p>
      <w:r>
        <w:rPr>
          <w:b/>
        </w:rPr>
        <w:t>E. 5</w:t>
      </w:r>
    </w:p>
    <w:p>
      <w:r>
        <w:t>2.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w:t>
      </w:r>
    </w:p>
    <w:p>
      <w:r>
        <w:rPr>
          <w:b/>
        </w:rPr>
        <w:t>E. 5.1</w:t>
      </w:r>
    </w:p>
    <w:p>
      <w:r>
        <w:t>La partie plaignante peut faire valoir des conclusions civiles déduites de l'infraction par adhésion à la procédure (art. 122 al. 1 CPP). En vertu de l'art. 126 CPP, le tribunal statue également sur les conclusions civiles présentées lorsqu'il rend un verdict de culpabilité à l'encontre du prévenu.</w:t>
      </w:r>
    </w:p>
    <w:p>
      <w:r>
        <w:rPr>
          <w:b/>
        </w:rPr>
        <w:t>E. 5.3</w:t>
      </w:r>
    </w:p>
    <w:p>
      <w:r>
        <w:t>En l'espèce, il convient de confirmer tant le principe d'une réparation du tort moral que le montant alloué à ce titre par le premier juge, la gravité des souffrances psychologiques endurées par la partie plaignante, qui sont directement liées aux actes de l'appelant et attestées par certificat médical, justifiant l'allocation d'une indemnité de CHF 1'000.-.</w:t>
      </w:r>
    </w:p>
    <w:p>
      <w:r>
        <w:rPr>
          <w:b/>
        </w:rPr>
        <w:t>E. 6</w:t>
      </w:r>
    </w:p>
    <w:p>
      <w:r>
        <w:t>L'appelant, qui obtient partiellement gain de cause, supportera les deux tiers des frais de la procédure d'appel, qui comprennent dans leur totalité un émolument de décision de CHF 1'300.- (art. 428 CPP et 14 al. 1 let. e du Règlement fixant le tarif des frais en matière pénale du 22 décembre 2010 [RTFMP ; RS E 4 10.03]). Le solde de ces frais sera laissé à la charge de l'Etat.</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trente heures d'activité, 10% lorsque l'état de frais porte sur plus de trente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7.3.1. En l'espèce,l'activité déployée par le défenseur d'office de A______ pour la procédure d'appel, soit trois heures d'activité d'un chef d'étude en ajustant la durée des débats d'appel (30 minutes au lieu d'une heure estimée), est en adéquation avec la nature, l'importance et la difficulté de la cause. L'indemnisation sera dès lors accordée à hauteur de CHF 712.80, indemnisation forfaitaire de 10% vu l'ensemble de l'activité déployée au cours de la procédure (CHF 60.-) et TVA à 8% (CHF 52.80) comprises. 7.3.2. Considéré dans sa globalité, l'état de frais produit par le conseil juridique gratuit de B______ paraît également adéquat et conforme aux principes qui précèdent, de sorte qu'il n'est pas nécessaire de reprendre le détail des postes qui le composent. Aussi,l'indemnité sera arrêtée à CHF 487.65 correspondant à trente minutes d'activité d'un chef d'étude à CHF 200.-/heure et quatre heures et quinze minutes d'activité d'un stagiaire à CHF 65.-/heure, indemnisation forfaitaire de 20% (CHF 75.25) et TVA au taux de 8% (CHF 36.15) incluses.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