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P/17899/2011 vom 26. November 2014</w:t>
      </w:r>
    </w:p>
    <w:p>
      <w:r>
        <w:t>GE Cour de justice, 2014-11-26, FR</w:t>
      </w:r>
    </w:p>
    <w:p>
      <w:r>
        <w:rPr>
          <w:b/>
        </w:rPr>
        <w:t xml:space="preserve">Quelle: </w:t>
      </w:r>
      <w:r>
        <w:t>https://mcp.opencaselaw.ch/entscheid/ge_gerichte_P_17899_2011</w:t>
      </w:r>
    </w:p>
    <w:p>
      <w:r>
        <w:t>FR: GE_GERICHTE P/17899/2011 du 26 novembre 2014</w:t>
      </w:r>
    </w:p>
    <w:p>
      <w:r>
        <w:t>IT: GE_GERICHTE P/17899/2011 del 26 novembre 2014</w:t>
      </w:r>
    </w:p>
    <w:p>
      <w:pPr>
        <w:pStyle w:val="Heading2"/>
      </w:pPr>
      <w:r>
        <w:t>Regeste</w:t>
      </w:r>
    </w:p>
    <w:p>
      <w:r>
        <w:t>LÉSION CORPORELLE; LÉSION CORPORELLE SIMPLE; PEINE PÉCUNIAIRE | CP.123.1; CP.34; CPP.433.1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 ; ATF 120 Ia 31 consid. 2 p. 33 ss).</w:t>
      </w:r>
    </w:p>
    <w:p>
      <w:r>
        <w:rPr>
          <w:b/>
        </w:rPr>
        <w:t>E. 2.2</w:t>
      </w:r>
    </w:p>
    <w:p>
      <w:r>
        <w:t>Selon l'art. 123 ch.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p. 154 ; ATF 134 IV 189 consid. 1.1 p. 191).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Les lésions corporelles sont qualifiées d'infraction intentionnelle de résultat. L'auteur doit avoir agi avec conscience et volonté (art. 12 al. 2 CP), le dol éventuel étant suffisant.</w:t>
      </w:r>
    </w:p>
    <w:p>
      <w:r>
        <w:rPr>
          <w:b/>
        </w:rPr>
        <w:t>E. 2.3</w:t>
      </w:r>
    </w:p>
    <w:p>
      <w:r>
        <w:t>Il est établi par certificat médical et photos que la partie plaignante présentait le 1 er décembre 2011, en fin de matinée, plusieurs hématomes sur le bras et l'épaule gauches, sur la région scapulaire gauche ainsi qu'une plaie superficielle du dos de la main gauche, compatibles aux dires du médecin avec des coups reçus suite à une agression subie le 29 novembre. Des hématomes constituent une lésion corporelle simple, ce qui n'est au demeurant pas contesté. Considérant le certificat médical et les photos produites, de même que la version servie à la justice de manière constante par la partie plaignante, la CPAR tient pour établi, à l'instar du premier juge, que la lésion subie a été causée par l'appelante lorsqu'elle a frappé cet homme âgé dans la cave de l'immeuble. Cette version a été corroborée par les témoignages de son épouse et de sa fille, toutes deux ayant tour-à-tour constaté le mal être de la partie plaignante et les bleus sur le haut de son corps. Le fait que cet homme âgé ne se soit pas d'emblée complètement ouvert de ce qui s'était passé, par gêne, est bien compréhensible au vu de sa position dans la famille. Il sera aussi relevé que c'est sur insistance de ses proches qu'il a fini par déposer plainte, dénotant ainsi son absence de volonté belliqueuse. Le témoignage du concierge, certes non présent au moment des faits, accrédite encore la version de la partie plaignante, étant relevé qu'il a également vu ses bleus et qu'elle lui a clairement dit avoir été frappée par sa voisine avec une barre en fer. La version des faits de l'appelante, selon laquelle elle s'en serait tenue le jour en question à des insultes, preuve en était qu'elle est allée se plaindre d'une dispute avec son voisin à son concierge, et que la partie plaignante se serait infligée seule les lésions constatées, dans une idée de la voir expulsée de l'immeuble, n'est pas propre à remettre en doute cette appréciation et vient, au contraire, renforcer la conviction de la CPAR. Il est en effet difficilement concevable d'imaginer une personne de plus de 70 ans au moment des faits se jeter contre un mur pour se blesser volontairement dans l'idée d'en faire porter la responsabilité à cette voisine, quand bien même un conflit existerait entre eux de longue date et que des insultes ont été échangées. Il sera relevé que l'appelante n'a subi aucune lésion suite à cette dispute, ce qui tend à discréditer sa version des faits. C'est en conséquence à juste titre que le premier juge a reconnu l'appelante coupable de lésions corporelles simples. Le jugement entrepris sera dès lors confirmé.</w:t>
      </w:r>
    </w:p>
    <w:p>
      <w:r>
        <w:rPr>
          <w:b/>
        </w:rPr>
        <w:t>E. 3</w:t>
      </w:r>
    </w:p>
    <w:p>
      <w:r>
        <w:t>3.1.1. L'art. 123 ch. 1 al. 1 CP réprime d'une peine privative de liberté de trois ans au plus ou d'une peine pécuniaire l'auteur de lésions corporelles simples. 3.1.2. 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 3.1.3.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3.2</w:t>
      </w:r>
    </w:p>
    <w:p>
      <w:r>
        <w:t>Si la faute de l'appelante n'est pas négligeable, elle est sérieusement relativisée par le climat malsain et le contentieux opposant les parties. Il sera également tenu compte du fait qu'elle a manifestement agi alors qu'elle avait été abordée de manière à tout le moins discourtoise par la partie plaignante. L'appelante n'a pas d'antécédents, ce qui est toutefois neutre du point de vue de la fixation de la peine (ATF 136 IV 1 consid. 2.6). En prononçant une peine pécuniaire de 10 jours-amende, le premier juge a tenu compte de l'ensemble de ces éléments. L'appelante n'a du reste pas critiqué cette appréciation. De même, le montant du jour-amende, fixé à CHF 30.- par le premier juge, est adapté à la situation financière de l’appelante, de sorte que tant la quotité de la peine que le montant du jour-amende doivent être confirmés. La mesure de sursis prononcée, dont les conditions sont au demeurant réalisées, est acquise à l’appelant (art. 391 al. 2 CPP). Le délai d'épreuve, arrêté à deux ans, n'est pas critiquable. Le jugement entrepris sera en conséquence entièrement confirmé sur ces points.</w:t>
      </w:r>
    </w:p>
    <w:p>
      <w:r>
        <w:rPr>
          <w:b/>
        </w:rPr>
        <w:t>E. 4</w:t>
      </w:r>
    </w:p>
    <w:p>
      <w:r>
        <w:t>4 .1.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Schweizerische Strafprozessordnung / Schweizerische Jugendstrafprozessordnung, Basler Kommentar StPO/JStPO , Bâle 2011, n. 6 ad art. 433 ; N. SCHMID, Schweizerische Strafprozessordnung : Praxiskommentar ,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Commentaire romand : Code de procédure pénale suisse , Bâle 2011, n. 8 ad art. 433 ; N. SCHMID, op. cit. , n. 3 ad art. 433).</w:t>
      </w:r>
    </w:p>
    <w:p>
      <w:r>
        <w:rPr>
          <w:b/>
        </w:rPr>
        <w:t>E. 4.2</w:t>
      </w:r>
    </w:p>
    <w:p>
      <w:r>
        <w:t>En l'espèce, la partie plaignante obtient gain de cause dans la mesure où l'appelante est condamnée. Si le principe d'une indemnisation doit être admis, la Cour l'arrêtera, comme retenu par le premier juge pour l'activité déployée jusqu'au 3 décembre 2013, à CHF 2'000.-, compte tenu de l'acquittement partiel dont a bénéficié la prévenue auquel s'ajoute l'absence de complexité du cas d'espèce. La note d'honoraires relative à la procédure d'appel, qui s'élève à CHF 3'434,40 pour un total de 7h42' d'activité semble excessive au regard de la complexité de l'affaire, tant les faits que la question juridique soulevée ne présentant aucune difficulté particulière pour un avocat. Compte tenu de ce qui précède, il se justifie de réduire l'indemnité à ce qui était nécessaire à la défense de la partie plaignante soit à 5 heures correspondant à CHF 2'052.-, TVA comprise.</w:t>
      </w:r>
    </w:p>
    <w:p>
      <w:r>
        <w:rPr>
          <w:b/>
        </w:rPr>
        <w:t>E. 5</w:t>
      </w:r>
    </w:p>
    <w:p>
      <w:r>
        <w:t>En l'absence d'acquittement, l'appelante sera déboutée de ses conclusions en indemnisation (art. 429 CPP).</w:t>
      </w:r>
    </w:p>
    <w:p>
      <w:r>
        <w:rPr>
          <w:b/>
        </w:rPr>
        <w:t>E. 6</w:t>
      </w:r>
    </w:p>
    <w:p>
      <w:r>
        <w:t>L'appelante, qui succombe intégralement, supportera les frais de la procédure d'appel, lesquels comprennent un émolument de jugement de CHF 1'800.- (art. 428 CPP et art. 14 du règlement fixant le tarif des frais en matière pénale du 22 décembre 2010 [RFTMP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