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P/1787/2020 vom 26. August 2020</w:t>
      </w:r>
    </w:p>
    <w:p>
      <w:r>
        <w:t>GE Cour de justice, 2020-08-26, FR</w:t>
      </w:r>
    </w:p>
    <w:p>
      <w:r>
        <w:rPr>
          <w:b/>
        </w:rPr>
        <w:t xml:space="preserve">Quelle: </w:t>
      </w:r>
      <w:r>
        <w:t>https://mcp.opencaselaw.ch/entscheid/ge_gerichte_P_1787_2020</w:t>
      </w:r>
    </w:p>
    <w:p>
      <w:r>
        <w:t>FR: GE_GERICHTE P/1787/2020 du 26 août 2020</w:t>
      </w:r>
    </w:p>
    <w:p>
      <w:r>
        <w:t>IT: GE_GERICHTE P/1787/2020 del 26 agosto 2020</w:t>
      </w:r>
    </w:p>
    <w:p>
      <w:pPr>
        <w:pStyle w:val="Heading2"/>
      </w:pPr>
      <w:r>
        <w:t>Regeste</w:t>
      </w:r>
    </w:p>
    <w:p>
      <w:r>
        <w:t>COMPÉTENCE;MAJORITÉ PÉNALE;PREUVE;dessaisissement | DPMin.3; CPP.182; CPP.139</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critique l'appréciation arbitraire des preuves faite par le JMin qui aurait dû, selon lui, se baser sur l'expertise d'âge pour considérer qu'il était mineur et devait ainsi dépendre de la justice des mineurs.</w:t>
      </w:r>
    </w:p>
    <w:p>
      <w:r>
        <w:rPr>
          <w:b/>
        </w:rPr>
        <w:t>E. 4.1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4.2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2e éd., Bâle 2014, n. 48 ad art. 139).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 européenne des droits de l'homme dans la cause Ubach Mortes Antoni c. Andorre du 4 mai 2000, Recueil CourEDH 2000-V p. 469 § 2).</w:t>
      </w:r>
    </w:p>
    <w:p>
      <w:r>
        <w:rPr>
          <w:b/>
        </w:rPr>
        <w:t>E. 4.3</w:t>
      </w:r>
    </w:p>
    <w:p>
      <w:r>
        <w:t>En l'espèce, le recourant, qui se dit de nationalité algérienne, prétend être né le ______ 2003 et avoir dès lors eu 16 ans et 6 mois environ au moment des faits. Il est toutefois connu des autorités marocaines comme étant un de ses ressortissants, sous l'identité de D______, né le ______ 2001. Le recourant, qui conteste s'appeler D______ et être né le ______ 2001, n'a fourni aucune explication convaincante pouvant expliquer pourquoi ses empreintes correspondaient à celles du susnommé, alléguant de manière vague être passé par le Maroc pour rejoindre l'Europe et y avoir donné un faux nom dont il ne se rappelait plus. La force probante de cet élément n'a pas pu être infirmée par les informations complémentaires demandées il y a plus de six mois - et restées sans suite - à IP Rabat au sujet des circonstances de la prise d'empreintes. Quant à l'absence de réponse d'IP Alger à la police, elle n'apparaît pas surprenante si le prévenu n'est pas de nationalité algérienne et est inconnu dans ce pays, de sorte qu'on ne saurait attendre et exiger de la police qu'elle persiste à solliciter des renseignements de cet État. À cela s'ajoute que, contrairement à ce que prétend le recourant, celui-ci est connu sous cinq autres alias de personnes dont une née le ______ 1975 et qui n'est donc pas mineure. Partant, son argument selon lequel il n'était connu que sous des alias de personnes mineures tombe à faux. Le recourant reproche encore au JMin de ne s'être pas fondé sur l'expertise d'âge pour conclure qu'il était mineur. Or, force est de constater que ladite expertise, en tant qu'elle retient une fourchette d'âge entre 14,36 et 20,74 ans, n'infirme pas l'appréciation que le prévenu serait majeur. S'il n'était pas exclu formellement que l'intéressé soit âgé de moins de 18 ans, il n'était pas non plus exclu qu'il soit majeur. Dans ces circonstances, on ne saurait faire grief au JMin d'avoir, en vertu de son libre examen, mal apprécié les preuves à sa disposition. Il pouvait ainsi conclure, sur la base des éléments en sa possession, que le prévenu était majeur et se dessaisir de la procédure en faveur du Ministère public.</w:t>
      </w:r>
    </w:p>
    <w:p>
      <w:r>
        <w:rPr>
          <w:b/>
        </w:rPr>
        <w:t>E. 5</w:t>
      </w:r>
    </w:p>
    <w:p>
      <w:r>
        <w:t>Justifiée, l'ordonnance querellée sera donc confirmée et le recours rejeté.</w:t>
      </w:r>
    </w:p>
    <w:p>
      <w:r>
        <w:rPr>
          <w:b/>
        </w:rPr>
        <w:t>E. 6</w:t>
      </w:r>
    </w:p>
    <w:p>
      <w:r>
        <w:t>Le recourant, qui succombe dans ses conclusions, supportera les frais envers l'État (art. 428 al. 1 CPP), y compris un émolument de décision de CHF 300.- (art. 3 cum art. 13 al. 1 du Règlement fixant le tarif des frais en matière pénale, RTFMP ; E 4 10.03).</w:t>
      </w:r>
    </w:p>
    <w:p>
      <w:r>
        <w:rPr>
          <w:b/>
        </w:rPr>
        <w:t>E. 7</w:t>
      </w:r>
    </w:p>
    <w:p>
      <w:r>
        <w:t>L'indemnité du défenseur d'office du recourant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