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P/17843/2017 vom 6. März 2019</w:t>
      </w:r>
    </w:p>
    <w:p>
      <w:r>
        <w:t>GE Cour de justice, 2019-03-06, FR</w:t>
      </w:r>
    </w:p>
    <w:p>
      <w:r>
        <w:rPr>
          <w:b/>
        </w:rPr>
        <w:t xml:space="preserve">Quelle: </w:t>
      </w:r>
      <w:r>
        <w:t>https://mcp.opencaselaw.ch/entscheid/ge_gerichte_P_17843_2017</w:t>
      </w:r>
    </w:p>
    <w:p>
      <w:r>
        <w:t>FR: GE_GERICHTE P/17843/2017 du 6 mars 2019</w:t>
      </w:r>
    </w:p>
    <w:p>
      <w:r>
        <w:t>IT: GE_GERICHTE P/17843/2017 del 6 marzo 2019</w:t>
      </w:r>
    </w:p>
    <w:p>
      <w:pPr>
        <w:pStyle w:val="Heading2"/>
      </w:pPr>
      <w:r>
        <w:t>Regeste</w:t>
      </w:r>
    </w:p>
    <w:p>
      <w:r>
        <w:t>MENDICITÉ ; FIXATION DE L'AMENDE | LPG.11A</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rPr>
          <w:b/>
        </w:rPr>
        <w:t>E. 2</w:t>
      </w:r>
    </w:p>
    <w:p>
      <w:r>
        <w:t>2.1. L'art. 11A LPG prévoit, à titre de sanction, l'amende. Son montant maximum est de CHF 10'000.- (art. 106 al. 1 du code pénal du 21 décembre 1937 [CP ; RS 311.0]). Pour le cas où, de manière fautive, le condamné ne paie pas l'amende, une peine privative de liberté de substitution est prononcée (al. 2). L'amende et la peine de substitution sont fixées en tenant compte de la situation du condamné, de façon à constituer une peine correspondant à la faute commise (al. 3).</w:t>
      </w:r>
    </w:p>
    <w:p>
      <w:r>
        <w:rPr>
          <w:b/>
        </w:rPr>
        <w:t>E. 2.2</w:t>
      </w:r>
    </w:p>
    <w:p>
      <w:r>
        <w:t>L'ancien droit prévoyait un taux de conversion de l'amende en peine privative de liberté fixe (art. 49 ch. 3 al. 3 aCP : CHF 30 pour un jour d'arrêt). Cela pouvait induire des inégalités de traitement parce que le montant de l'amende ne reflétait pas directement et complètement la faute, qui est déterminante pour la peine privative de liberté de substitution. Cette disposition problématique fut abrogée sans être remplacée. Dans la mesure où la faute constitue désormais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(ATF 134 IV 60 consid. 7.3.3 p. 76 ; arrêts du Tribunal fédéral 6B_903/2015 du 21 septembre 2016 consid. 1.2 ; 6B_152/2007 du 13 mai 2008 consid. 7.1.3 et les références citées ; AARP/155/2018 du 23 mai 2018 consid. 2.1.1 et AARP/252/2013 du jeudi 30 mai 2013 consid. 2.2).</w:t>
      </w:r>
    </w:p>
    <w:p>
      <w:r>
        <w:rPr>
          <w:b/>
        </w:rPr>
        <w:t>E. 2.3</w:t>
      </w:r>
    </w:p>
    <w:p>
      <w:r>
        <w:t>Selon l'art. 47 CP (applicable aux contraventions, cf. ATF 119 IV 330 consid. 3), le juge, pour établir la culpabilité de l'auteur,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2.4</w:t>
      </w:r>
    </w:p>
    <w:p>
      <w:r>
        <w:t>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 arrêt du Tribunal fédéral 6B_559/2018 du 26 octobre 2018 consid. 1.1.1 et 1.1.2 destiné à la publication et les références citées).</w:t>
      </w:r>
    </w:p>
    <w:p>
      <w:r>
        <w:rPr>
          <w:b/>
        </w:rPr>
        <w:t>E. 2.5</w:t>
      </w:r>
    </w:p>
    <w:p>
      <w:r>
        <w:t>Toute comparaison avec d'autres affaires est délicate vu les nombreux paramètres entrant en ligne de compte pour la fixation de la peine. Les disparités en cette matière s'expliquent normalement par le principe de l'individualisation des peines, voulu par le législateur (ATF 141 IV 61 consid. 6.3.1 p. 69 et les références citées). Ce n'est que si le résultat auquel le juge de répression est parvenu apparaît vraiment choquant, compte tenu notamment des arguments invoqués et des cas déjà examinés par la jurisprudence, que l'on peut parler d'un abus du pouvoir d'appréciation (ATF 135 IV 191 consid. 3.1 p. 193 ; 123 IV 150 consid. 2a p. 152).</w:t>
      </w:r>
    </w:p>
    <w:p>
      <w:r>
        <w:rPr>
          <w:b/>
        </w:rPr>
        <w:t>E. 2.6</w:t>
      </w:r>
    </w:p>
    <w:p>
      <w:r>
        <w:t>En l'espèce, force est de constater que la faute de l'intimé n'est pas minime. Il a agi avec une certaine intensité, à savoir à onze reprises pendant une courte période pénale, dont deux fois le même jour. Il n'a pas prétendu ignorer l'illicéité de son comportement mais a persisté à réclamer de l'argent aux passants. En cela, il a manifesté son mépris des consignes de la police, qui lui a régulièrement demandé de cesser son activité contraire à la loi. Cependant, comme le Tribunal de police, la CPAR estime que le trouble à l'ordre public reste limité, dans la mesure où les rapports de police ne font état d'aucun désagrément causé par l'intimé. Il n'a pas d'antécédents. Sa collaboration à l'enquête ne peut être qualifiée de mauvaise car il n'a pas contesté les faits poursuivis. Sa situation personnelle, y compris son analphabétisme, est caractérisée par une très grande précarité. Son impécuniosité sera sensiblement prise en compte dans le montant de l'amende. Pour la fixation de l'amende globale, la comparaison par le MP avec une autre affaire est vaine, d'autant plus que l'intimé a dans le cas d'espèce commis moins d'occurrences que dans le cas cité. Peu importe également le montant des amendes fixé par le SDC, les tribunaux n'étant pas liés par la sanction proposée dans une ordonnance pénale (art. 356 al. 1 CPP ; L. MOREILLON / A. PAREIN-REYMOND, Petit commentaire CPP , Bâle 2016, n. 2 ad art. 356). Enfin, une amende de CHF 200.- ne saurait correspondre à onze amendes de CHF 18.-, le cumul des peines de même genre étant proscrit (ATF 144 IV 217 consid. 3.5). Compte tenu de la faute commise et de la situation financière de l'intimé, l'amende de base sera fixée dans le cas concret à CHF 50.- puis augmentée à dix reprises de CHF 30.-, ce montant tenant compte du principe d'aggravation, pour sanctionner chacune des autres contraventions. L'amende globale sera dès lors de CHF 350.-.</w:t>
      </w:r>
    </w:p>
    <w:p>
      <w:r>
        <w:rPr>
          <w:b/>
        </w:rPr>
        <w:t>E. 2.7</w:t>
      </w:r>
    </w:p>
    <w:p>
      <w:r>
        <w:t>Pour déterminer la peine privative de liberté de substitution, la faute et la situation personnelle de l'intimé, à l'exclusion de sa situation financière, doivent être prises en considération. Pour avoir tendu à onze reprises la main ou un gobelet pour mendier auprès de passants, cinq journées de détention en cas de non-paiement de l'amende paraissent une sanction proportionnée. Elle tient au surplus compte de la gravité de sa faute et de sa situation personnelle très difficile. Au vu de ce qui précède, le jugement entrepris sera réformé dans le sens des considérants.</w:t>
      </w:r>
    </w:p>
    <w:p>
      <w:r>
        <w:rPr>
          <w:b/>
        </w:rPr>
        <w:t>E. 3</w:t>
      </w:r>
    </w:p>
    <w:p>
      <w:r>
        <w:t>Le MP ayant partiellement gain de cause, l'intimé supportera la moitié des frais de la procédure envers l'État, comprenant un émolument exceptionnellement arrêté à CHF 400.- (art. 428 al. 1 CPP et art. 14 al. 1 let. e du règlement fixant le tarif des frais en matière pénale du 22 décembre 2010 [RTFMP - E 4 10.03]). * * * * * PAR CES MOTIFS, L A PRÉSIDENTE DE LA CHAMBRE PÉNALE D'APPEL ET DE RÉVISION : Reçoit l'appel formé par le Ministère public contre le jugement rendu le 19 septembre 2018 par le Tribunal de police dans la procédure P/17843/2017. L'admet partiellement. Annule ce jugement dans la mesure où il condamne A______ à une amende de CHF 200.- et à une peine privative de liberté de substitution de 2 jours. Et statuant à nouveau : Condamne A______ à une amende de CHF 350.-. Prononce une peine privative de liberté de substitution de cinq jours. Confirme pour le surplus le jugement entrepris. Condamne A______ à la moitié des frais de la procédure d'appel, qui comprennent un émolument de CHF 400.-. Notifie le présent arrêt aux parties. Le communique, pour information, au Tribunal de police et à l'Office cantonal de la population et des migrations. La greffière : Katia NUZZACI La présidente : Gaëlle VAN HOVE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P/17843/2017 ÉTAT DE FRAIS AARP/69/2019 COUR DE JUSTICE Selon les art. 4 et 14 du règlement du 22 décembre 2010 fixant le tarif des frais et dépens en matière pénale (E 4 10.03). Total des frais de procédure du Tribunal de police : CHF 200.00 Bordereau de frais de la Chambre pénale d'appel et de révision Délivrance de copies et photocopies (let. a, b et c) CHF 00.00 Mandats de comparution, avis d'audience et divers (let. i) CHF 210.00 Procès-verbal (let. f) CHF 00.00 État de frais CHF 75.00 Émolument de décision CHF 400.00 Total des frais de la procédure d'appel : (Pour calculer : cliquer avec bouton de droite sur le montant total puis sur « mettre à jour les champs » ou cliquer sur le montant total et sur la touche F9) CHF 685.00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885.00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