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P/17780/2023 vom 31. Januar 2024</w:t>
      </w:r>
    </w:p>
    <w:p>
      <w:r>
        <w:t>GE Cour de justice, 2024-01-31, FR</w:t>
      </w:r>
    </w:p>
    <w:p>
      <w:r>
        <w:rPr>
          <w:b/>
        </w:rPr>
        <w:t xml:space="preserve">Quelle: </w:t>
      </w:r>
      <w:r>
        <w:t>https://mcp.opencaselaw.ch/entscheid/ge_gerichte_P_17780_2023</w:t>
      </w:r>
    </w:p>
    <w:p>
      <w:r>
        <w:t>FR: GE_GERICHTE P/17780/2023 du 31 janvier 2024</w:t>
      </w:r>
    </w:p>
    <w:p>
      <w:r>
        <w:t>IT: GE_GERICHTE P/17780/2023 del 31 gennaio 2024</w:t>
      </w:r>
    </w:p>
    <w:p>
      <w:pPr>
        <w:pStyle w:val="Heading2"/>
      </w:pPr>
      <w:r>
        <w:t>Regeste</w:t>
      </w:r>
    </w:p>
    <w:p>
      <w:r>
        <w:t>ORDONNANCE DE NON-ENTRÉE EN MATIÈRE;TENTATIVE(DROIT PÉNAL);CONTRAINTE(DROIT PÉNAL);MOTIVATION DE LA DÉCISION | Cst; CPP.3.al2; CPP.107; CPP.310; CP.181; CP.22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motivation insuffisante de la décision attaquée.</w:t>
      </w:r>
    </w:p>
    <w:p>
      <w:r>
        <w:rPr>
          <w:b/>
        </w:rPr>
        <w:t>E. 3.1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146 II 335 consid. 5.1), de manière à ce que l'intéressé puisse se rendre compte de la portée de celle-ci et l'attaquer en connaissance de cause (ATF 143 IV 40 consid. 3.4.3; 141 IV 249 consid. 1.3.1;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142 II 154 consid. 4.2). La motivation peut être implicite et résulter des différents considérants de la décision (ATF 141 V 557 consid. 3.2.1).</w:t>
      </w:r>
    </w:p>
    <w:p>
      <w:r>
        <w:rPr>
          <w:b/>
        </w:rPr>
        <w:t>E. 3.2</w:t>
      </w:r>
    </w:p>
    <w:p>
      <w:r>
        <w:t>En l'espèce, l'ordonnance querellée expose que les dispositions du droit civil étaient de nature à assurer une protection suffisante à la recourante, cette dernière ayant obtenu la levée du séquestre, étant rappelée la subsidiarité du droit pénal. La motivation du Ministère public, bien que succincte, permettait ainsi à la recourante de contester la décision dans le cadre de son recours en toute connaissance de cause, ce qu'elle a au demeurant fait. Le Ministère public a indiqué clairement les faits sur lesquels il s'était fondé pour prendre sa décision. Il ne peut en effet être exigé de ce dernier qu'il reprenne les faits allégués dans leur entièreté. Enfin, selon la recourante, le Ministère public aurait dû se référer, dans sa motivation, à des décisions relatives à des séquestres et non à des commandements de payer. Or, dans la mesure où la notification d'un commandement de payer peut constituer la menace d'un dommage sérieux, il doit en aller de même, a fortiori , d'une requête de séquestre, laquelle constitue un moyen de pression psychologique encore plus élevé et incisif. Le grief est dès lors infondé.</w:t>
      </w:r>
    </w:p>
    <w:p>
      <w:r>
        <w:rPr>
          <w:b/>
        </w:rPr>
        <w:t>E. 4</w:t>
      </w:r>
    </w:p>
    <w:p>
      <w:r>
        <w:t>La recourante reproche au Ministère public de ne pas être entré en matière sur sa plainte.</w:t>
      </w:r>
    </w:p>
    <w:p>
      <w:r>
        <w:rPr>
          <w:b/>
        </w:rPr>
        <w:t>E. 4.1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4.2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cela, contre sa volonté (ATF 101 IV 167 ; A. MACALUSO / L. MOREILLON / N. QUELOZ (éds), Commentaire romand, Code pénal II, vol. II, Partie spéciale : art. 111-392 CP, Bâle 2017, n. 22 ad art. 181).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134 IV 216 consid. 4.1).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Un moyen de contrainte doit être taxé d'abusif ou de contraire aux mœurs lorsqu'il permet d'obtenir un avantage indu (ATF 120 IV 17 consid. 2a/bb; 106 IV 125 consid 3a ; arrêt du Tribunal fédéral 6B_191/2022 du 21 septembre 2022 consid. 5.1.3). Sur le plan subjectif, il faut que l'auteur ait agi intentionnellement, c'est-à-dire qu'il ait voulu contraindre la victime à adopter le comportement visé en étant conscient de l'illicéité de son comportement ; le dol éventuel suffit (ATF 120 IV 17 consid. 2c). Conformément à l'art. 22 al. 1 CP, le juge peut atténuer la peine si l'exécution d'un crime ou d'un délit n'est pas poursuivie jusqu'à son terme ou que le résultat nécessaire à la consommation de l'infraction ne se produit pas ou ne pouvait pas se produire.</w:t>
      </w:r>
    </w:p>
    <w:p>
      <w:r>
        <w:rPr>
          <w:b/>
        </w:rPr>
        <w:t>E. 4.3</w:t>
      </w:r>
    </w:p>
    <w:p>
      <w:r>
        <w:t>En l'espèce, il n'est pas contesté que le mis en cause a initié une procédure de séquestre d'une partie des biens de la recourante, laquelle a abouti, avant que le séquestre ne soit levé sur opposition. La recourante reproche dans un premier temps au Ministère public de ne pas avoir instruit la cause suffisamment avant de rendre l'ordonnance litigieuse, violant ainsi le principe in dubio pro duriore . Or, il ressort du dossier et des pièces de procédure qu'aucune mesure d'instruction supplémentaire n'aurait été de nature à apporter d'élément nouveau, ce que la recourante ne soutient au demeurant pas. Le dossier comporte notamment l'apport de la procédure civile qui a conduit à un jugement du Tribunal civil, de sorte que les faits étaient suffisamment établis pour que le Ministère public puisse se forger une conviction et décider s'il entendait entrer en matière ou non. La recourante considère que la requête de séquestre déposée devant le Tribunal civil constitue un moyen de contrainte illicite visant à lui faire payer une somme d'argent qu'elle ne doit pas, mais son raisonnement ne peut être suivi. En effet, le moyen utilisé par le mis en cause - soit le dépôt d'une requête de séquestre - est conforme à la Loi fédérale sur la poursuite pour dettes et faillites (LP; RS 281.1). S'agissant du but poursuivi, il apparaît que le mis en cause, au bénéfice d'un titre exécutoire – soit l'arrêt grec et le jugement du Tribunal de district de H______ [GE] –, a cherché à obtenir le paiement du montant de EUR 8'723'088.70, à titre de liquidation de la succession de son père, qu'il estimait lui être dû. Il a en effet requis le séquestre sur les biens de la recourante auprès de la banque F______ en se fondant notamment sur un document signé en 2014 par feu E______, selon lequel il était le seul ayant droit économique du compte auprès de cette banque. Il ressort, en outre, du dossier que ce n'est qu'à la suite d'une procédure de poursuite et de deux procédures de séquestre infructueuses à Zurich, que le mis en cause a déposé la requête de séquestre à Genève. Ainsi, en initiant la procédure usuelle de recouvrement d'une prétention pécuniaire, même éventuellement infondée, le mis en cause a agi de manière proportionnée et licite. Aussi, et compte tenu des circonstances qui précèdent, on ne décèle, de la part de ce dernier, aucune intention caractérisée de nuire à la recourante, en portant atteinte à sa liberté d'action. Pour le surplus, on ignore quelle proportion du patrimoine de la recourante est concernée par la mise sous séquestre et cette dernière ne démontre pas qu'un tel séquestre, notamment par son importance, l'aurait entravée dans sa liberté d'action. Elle ne produit en effet aucune pièce relative à sa situation financière qui permettrait de retenir que les montants bloqués sont si importants que leur indisposition soudaine, durant une certaine période, aurait été de nature à l'empêcher de poursuivre son activité ou de faire face à ses charges. Le fait que la recourante conteste le montant de la créance n'est pas déterminant. Toute autre réponse aurait en effet pour conséquence d'entraver, voire de paralyser, sous couvert de contrainte pénalement qualifiée, le recouvrement forcé d'une créance au motif qu'elle est contestée. Tel ne peut être le but de l'art. 181 CP. En tout état de cause, il ressort du dossier que le mis en cause a reçu, postérieurement au dépôt de la requête de séquestre, le versement de EUR 7'085'868.75, ce qui tend à démontrer que la démarche entreprise par ce dernier ne constituait pas un moyen de pression abusif, que la recourante ait ou non eu connaissance de ladite requête à ce stade. Il n'est également pas relevant que le mis en cause ait averti personnellement ou non le juge du séquestre qu'il avait reçu ce versement, puisqu'il en a informé l'Office des poursuites et que le Tribunal civil en a tenu compte dans son jugement sur opposition du 10 juillet 2023. Il existe donc, sur le plan pénal, un lien suffisant entre la créance invoquée par le mis en cause et le montant réclamé, sans qu'il n'appartienne aux autorités pénales de décider si ladite créance est fondée ou non, cette question relevant exclusivement de la compétence des juridictions civiles. Le fait que le Tribunal civil, dans son jugement du 10 juillet 2023, soit parvenu à la conclusion que la dualité juridique entre feu E______ et la recourante n'était pas suffisante pour constituer un abus de droit ne signifie pas pour autant que la démarche du mis en cause était illicite au sens du droit pénal. Ainsi, faute de prévention pénale suffisante, c'est à bon droit que le Ministère public a renoncé à entrer en matière sur les infractions dénoncées et aucune mesure d'instruction ne paraît être à même de modifier ce constat.</w:t>
      </w:r>
    </w:p>
    <w:p>
      <w:r>
        <w:rPr>
          <w:b/>
        </w:rPr>
        <w:t>E. 5</w:t>
      </w:r>
    </w:p>
    <w:p>
      <w:r>
        <w:t>Justifiée, l'ordonnance querellée sera donc confirmée et le recours rejeté.</w:t>
      </w:r>
    </w:p>
    <w:p>
      <w:r>
        <w:rPr>
          <w:b/>
        </w:rPr>
        <w:t>E. 6</w:t>
      </w:r>
    </w:p>
    <w:p>
      <w:r>
        <w:t>La recourante, qui succombe, supportera les frais envers l'État, fixés en totalité à CHF 1'500.-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