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P/17753/2018 vom 4. Januar 2019</w:t>
      </w:r>
    </w:p>
    <w:p>
      <w:r>
        <w:t>GE Cour de justice, 2019-01-04, FR</w:t>
      </w:r>
    </w:p>
    <w:p>
      <w:r>
        <w:rPr>
          <w:b/>
        </w:rPr>
        <w:t xml:space="preserve">Quelle: </w:t>
      </w:r>
      <w:r>
        <w:t>https://mcp.opencaselaw.ch/entscheid/ge_gerichte_P_17753_2018</w:t>
      </w:r>
    </w:p>
    <w:p>
      <w:r>
        <w:t>FR: GE_GERICHTE P/17753/2018 du 4 janvier 2019</w:t>
      </w:r>
    </w:p>
    <w:p>
      <w:r>
        <w:t>IT: GE_GERICHTE P/17753/2018 del 4 gennaio 2019</w:t>
      </w:r>
    </w:p>
    <w:p>
      <w:pPr>
        <w:pStyle w:val="Heading2"/>
      </w:pPr>
      <w:r>
        <w:t>Regeste</w:t>
      </w:r>
    </w:p>
    <w:p>
      <w:r>
        <w:t>DÉLAI DE RECOURS ; RETARD ; CALCUL DU DÉLAI ; REMISE À LA POSTE | CPP.322; CPP.396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janvier 2019 et mentionnait en page 5 le délai de dix jours pour former un éventuel recours; -        le délai prévu par l'art. 396 al. 1 CPP arrivait donc à échéance le lundi 4 février 2019 (art. 90 al. 1 CPP); -        l'acte de recours, pour avoir été posté le 5 février 2019 (cachet postal), était donc tardif, et ce, même s'il avait, par hypothèse, été déposé en Suisse plutôt qu'en France; -        le recours s'avère par conséquent irrecevable; -        le recourant, qui succombe, sera condamné aux frais de l'instance, qui comprendront un émolument de CHF 150.- (art. 428 al. 1 CPP cum art. 13 al. 1 let. c du Règlement fixant le tarif des frais en matière pénale; RTFMP - E 4 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