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P/1773/2017 vom 9. August 2017</w:t>
      </w:r>
    </w:p>
    <w:p>
      <w:r>
        <w:t>GE Cour de justice, 2017-08-09, FR</w:t>
      </w:r>
    </w:p>
    <w:p>
      <w:r>
        <w:rPr>
          <w:b/>
        </w:rPr>
        <w:t xml:space="preserve">Quelle: </w:t>
      </w:r>
      <w:r>
        <w:t>https://mcp.opencaselaw.ch/entscheid/ge_gerichte_P_1773_2017</w:t>
      </w:r>
    </w:p>
    <w:p>
      <w:r>
        <w:t>FR: GE_GERICHTE P/1773/2017 du 9 août 2017</w:t>
      </w:r>
    </w:p>
    <w:p>
      <w:r>
        <w:t>IT: GE_GERICHTE P/1773/2017 del 9 agosto 2017</w:t>
      </w:r>
    </w:p>
    <w:p>
      <w:pPr>
        <w:pStyle w:val="Heading2"/>
      </w:pPr>
      <w:r>
        <w:t>Erwägungen</w:t>
      </w:r>
    </w:p>
    <w:p>
      <w:r>
        <w:rPr>
          <w:b/>
        </w:rPr>
        <w:t>E. 1.1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1.2</w:t>
      </w:r>
    </w:p>
    <w:p>
      <w:r>
        <w:t>Conformément à l'art. 129 al. 4 LOJ, lorsque des contraventions font seules l'objet du prononcé attaqué et que l'appel ne vise pas une déclaration de culpabilité pour un crime ou un délit, la direction de la procédure de la juridiction d'appel est compétente pour statuer.</w:t>
      </w:r>
    </w:p>
    <w:p>
      <w:r>
        <w:rPr>
          <w:b/>
        </w:rPr>
        <w:t>E. 1.3</w:t>
      </w:r>
    </w:p>
    <w:p>
      <w:r>
        <w:t>En matière contraventionnelle, l'appel ne peut être formé que pour le grief que le jugement est juridiquement erroné ou que l'état de fait a été établi de manière manifestement inexacte ou en violation du droit. Aucune nouvelle allégation ou preuve ne peut être produite (art. 398 al. 4 CPP). Le pouvoir d'examen de l'autorité d'appel est ainsi limité dans l'appréciation des faits à ce qui a été établi de manière arbitraire (arrêt du Tribunal fédéral 6B_362/2012 du 29 octobre 2012 consid. 5.2). En outre, aucune allégation ou preuve nouvelle ne peut être produite devant l'instance d'appel (art. 398 al. 4, 2 e phrase CPP). Il s'agit là d'une exception au principe du plein pouvoir de cognition de l'autorité de deuxième instance qui conduit à qualifier d'appel « restreint » cette voie de droit (arrêt du Tribunal fédéral 1B_768/2012 du 15 janvier 2013 consid. 2.1). En revanche, la partie appelante peut valablement renouveler en appel les réquisitions de preuve formulées devant le premier juge et qui ont été rejetées (arrêt du Tribunal fédéral 6B_202/2015 du 28 octobre 2015 consid. 2.2 et les arrêts cités).</w:t>
      </w:r>
    </w:p>
    <w:p>
      <w:r>
        <w:rPr>
          <w:b/>
        </w:rPr>
        <w:t>E. 2</w:t>
      </w:r>
    </w:p>
    <w:p>
      <w:r>
        <w:t>2.1.1.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2.1.2. Selon la jurisprudence, une décision n'est pas arbitraire du seul fait qu'elle apparaît discutable ou même critiquable; il faut qu'elle soit manifestement insoutenable, et cela non seulement dans sa motivation mais aussi dans son résultat (ATF 142 II 369 consid. 4.3 p. 380).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p. 266 et les références citées).</w:t>
      </w:r>
    </w:p>
    <w:p>
      <w:r>
        <w:rPr>
          <w:b/>
        </w:rPr>
        <w:t>E. 2.2</w:t>
      </w:r>
    </w:p>
    <w:p>
      <w:r>
        <w:t>En l'occurrence, le premier juge a tenu pour établi que le véhicule contrevenant était bien celui de l'appelant en se fondant sur les déclarations du gendarme qui avait constaté l'infraction et considérait avoir eu le temps de voir les caractéristiques du véhicule, précisant que s'il avait eu le moindre doute, il aurait renoncé à amender. Vu les éléments du dossier, cette conclusion échappe à tout le moins au grief d'arbitraire, le numéro d'immatriculation relevé par le gendarme s'étant avéré correspondre à un motocycle présentant les mêmes caractéristiques, soit non seulement la marque, mais aussi les couleurs, que celui observé par le témoin. On peut relever de surcroit que, nonobstant l'écoulement du temps, ledit gendarme se souvenait bien de l'événement, ayant été surpris par le comportement du motard qui n'avait pas dévié sa trajectoire illicite malgré sa présence. Or, le gendarme se souvenait aussi de ce qu'il avait eu tout le temps de relever le numéro, ce qui tend à conforter sa certitude que ses constatations étaient correctes. Il n'y a donc rien d'insoutenable à retenir que le véhicule contrevenant était celui de l'appelant, lequel n'affirme par ailleurs pas qu'il aurait pu être conduit par un tiers. Les objections de l'intéressé ne suffisent pas à susciter un doute concret : vu l'heure de l'infraction, rien n'empêche qu'il ait pu rentrer chez lui après son activité caritative du matin pour enfourcher sa moto ; quant à l'hypothèse de fausses plaques – apposées qui plus est sur une moto identique à la sienne – celle-ci est purement théorique. Il est partant retenu que c'est bien l'appelant qui a circulé au guidon de sa moto dans les circonstances décrites dans l'ordonnance pénale.</w:t>
      </w:r>
    </w:p>
    <w:p>
      <w:r>
        <w:rPr>
          <w:b/>
        </w:rPr>
        <w:t>E. 2.3</w:t>
      </w:r>
    </w:p>
    <w:p>
      <w:r>
        <w:t>A juste titre l'intéressé ne conteste pas que ce comportement était contraire aux art. 27 al. 1 LCR, 34 al. 1 et 74 al. 4 de l'ordonnance sur la signalisation routière du 5 septembre 1979 (OSR - RS 741.21), d'où une violation simple des règles de la circulation routière.</w:t>
      </w:r>
    </w:p>
    <w:p>
      <w:r>
        <w:rPr>
          <w:b/>
        </w:rPr>
        <w:t>E. 2.4</w:t>
      </w:r>
    </w:p>
    <w:p>
      <w:r>
        <w:t>L'appel doit donc être rejeté.</w:t>
      </w:r>
    </w:p>
    <w:p>
      <w:r>
        <w:rPr>
          <w:b/>
        </w:rPr>
        <w:t>E. 3</w:t>
      </w:r>
    </w:p>
    <w:p>
      <w:r>
        <w:t>L'appelant ne discute, à raison, pas le montant de l'amende infligée par le SDC, qui était conforme aux prescriptions de l'annexe 1 de l'ordonnance sur les amendes d’ordre du 4 mars 1996 (OAO - RS 741.031). La quotité de la peine privative de liberté de substitution n'est pas non plus discutable, s'agissant du minimum légal.</w:t>
      </w:r>
    </w:p>
    <w:p>
      <w:r>
        <w:rPr>
          <w:b/>
        </w:rPr>
        <w:t>E. 4</w:t>
      </w:r>
    </w:p>
    <w:p>
      <w:r>
        <w:t>L'appelant, qui succombe, supportera les frais de la procédure envers l'Etat (art. 428 CPP), comprenant un émolument de CHF 500.-. * * * * * PAR CES MOTIFS, L A PRÉSIDENT E DE LA CHAMBRE PÉNALE D'APPEL ET DE RÉVISION : Reçoit l'appel formé par A______ contre le jugement JTDP/965/2017 rendu le 9 août 2017 par le Tribunal de police dans la procédure P/1773/2017. Le rejette. Condamne A______ aux frais de la procédure d'appel, qui comprennent un émolument de CHF 500.-. Notifie le présent arrêt aux parties. Le communique, pour information, à l'instance inférieure. La greffière : Melina CHODYNIECKI La présidente : Alessandra CAMBI FAVRE-BULLE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(1000 Lausanne 14), par la voie du recours en matière pénale, sous la réserve qui suit. P/1773/2017 ÉTAT DE FRAIS AARP/396/2017 COUR DE JUSTICE Selon les art. 4 et 14 du règlement du 22 décembre 2010 fixant le tarif des frais et dépens en matière pénale (E 4 10.03). Total des frais de procédure du Tribunal de police : CHF 1'130.00 Bordereau de frais de la Chambre pénale d'appel et de révision Délivrance de copies et photocopies (let. a, b et c) CHF 00.00 Mandats de comparution, avis d'audience et divers (let. i) CHF 300.00 Procès-verbal (let. f) CHF 00.00 État de frais CHF 75.00 Émolument de décision CHF 500.00 Total des frais de la procédure d'appel : (Pour calculer : cliquer avec bouton de droite sur le montant total puis sur « mettre à jour les champs » ou cliquer sur le montant total et sur la touche F9) CHF 875.00 Total général (première instance + appel) : (Pour calculer : cliquer avec bouton de droite sur le montant total puis sur « mettre à jour les champs » ou cliquer sur le montant total et sur la touche F9. Attention, calculer d'abord le « Total des frais de la procédure d'appel » avant le « Total général (première instance + appel » ) CHF 2'005.00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