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P/17721/2014 vom 13. November 2015</w:t>
      </w:r>
    </w:p>
    <w:p>
      <w:r>
        <w:t>GE Cour de justice, 2015-11-13, FR</w:t>
      </w:r>
    </w:p>
    <w:p>
      <w:r>
        <w:rPr>
          <w:b/>
        </w:rPr>
        <w:t xml:space="preserve">Quelle: </w:t>
      </w:r>
      <w:r>
        <w:t>https://mcp.opencaselaw.ch/entscheid/ge_gerichte_P_17721_2014</w:t>
      </w:r>
    </w:p>
    <w:p>
      <w:r>
        <w:t>FR: GE_GERICHTE P/17721/2014 du 13 novembre 2015</w:t>
      </w:r>
    </w:p>
    <w:p>
      <w:r>
        <w:t>IT: GE_GERICHTE P/17721/2014 del 13 novembre 2015</w:t>
      </w:r>
    </w:p>
    <w:p>
      <w:pPr>
        <w:pStyle w:val="Heading2"/>
      </w:pPr>
      <w:r>
        <w:t>Regeste</w:t>
      </w:r>
    </w:p>
    <w:p>
      <w:r>
        <w:t>COCAÏNE; TRANSPORT DE STUPÉFIANTS; COMMERCE DE STUPÉFIANTS; DÉTENTION DE STUPÉFIANTS; INTERNATIONAL; SURVEILLANCE TÉLÉPHONIQUE; QUANTITÉ; ANTÉCÉDENT; IMPUTATION; INDEMNITÉ(EN GÉNÉRAL) | LStup.19.2.a; CP.51; CPP.429.1.c</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 présomption d'innocence, dont le principe in dubio pro reo est le corollaire, est garantie par les art. 6 par. 2 de la CEDH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2.2</w:t>
      </w:r>
    </w:p>
    <w:p>
      <w:r>
        <w:t>L'art. 19 al. 1 LStup punit d'une peine privative de liberté de trois ans au plus ou d'une peine pécuniaire, celui qui, sans droit entrepose, expédie, transporte, importe exporte des stupéfiants ou les passe en transit (let. b), celui qui possède, détient ou acquiert des stupéfiants ou s'en procure de toute autre manière (let. d) et celui qui prend des mesures aux fins de commettre une des infractions visées aux let. a à f (let. g). A teneur de l'art. 19 al. 2 let. a LStup, le cas est grave lorsque l'auteur sait ou ne peut ignorer que l'infraction peut directement ou indirectement mettre en danger la santé de nombreuses personnes. Selon la jurisprudence rendue sous l'empire de l'ancienne LStup, dont il n'y a pas lieu de se distancer, il y a cas grave, s'agissant de la cocaïne, dès que le trafic porte sur une quantité de 18 g de drogue pure (ATF 122 IV 363 consid. 2a, 120 IV 338 consid. 2a). L'art. 19 LStup ne réprime pas une infraction unique de « trafic de stupéfiants » réalisée par les différents comportements visés par cette disposition (art. 19 al. 1 LStup), qui pourraient être reprochés à un auteur sur une période donnée. Cette norme énumère au contraire de nombreux actes constituant chacun un état de fait poursuivi pour lui-même (ATF 133 IV 187 consid. 3.2 p. 192 ss ; arrêt du Tribunal fédéral 6B_704/2012 du 3 avril 2013 consid. 1.2). Il n'en va pas différemment de la répétition on d'un même comportement réprimé (par exemple la vente réitérée à la même personne). Il est vrai que la jurisprudence considère, au stade de la fixation de la peine, qu'il n'y a pas lieu d'appliquer les règles sur le concours dans de telles hypothèses mais d'énoncer l'ensemble des comportements répréhensibles accomplis, de sorte que les quantités de stupéfiants sont additionnées pour l'application de l'art. 19 al. 2 LStup (ATF 105 IV 73 consid. 3a p. 73). Cette pratique fondée sur des motifs de simplification ne remet cependant pas en cause, sous l'angle de l'application du principe ne bis in idem , la nature indépendante des infractions elles-mêmes (arrêt du Tribunal fédéral 6B_704/2012 du 3 avril 2013 consid. 1.2). L'infraction est intentionnelle. Le dol éventuel suffit (ATF 126 IV 201 consid. 2).</w:t>
      </w:r>
    </w:p>
    <w:p>
      <w:r>
        <w:rPr>
          <w:b/>
        </w:rPr>
        <w:t>E. 3</w:t>
      </w:r>
    </w:p>
    <w:p>
      <w:r>
        <w:t>De la réception de la cocaïne importée par l'intimé C______ le 5 octobre 2014 3.3.1. En l'espèce, il est établi que l'appelant a été interpellé dans l'appartement qu'il disait occuper seul, à la rue F______, depuis environ un mois, en présence des intimés C______ et D______. Le premier venait d'y expulser la majeure partie des 43 "doigts" de cocaïne qu'il avait transportés par avion de Lisbonne à Bâle, puis par train jusqu'à Genève. L'appelant A______ était allé chercher cette "mule" à son arrivée à Genève à la gare routière, pour la conduire jusqu'à son appartement. L'intimé D______ était arrivé sur place un peu plus tard dans la soirée, en provenance de Lisbonne, après avoir été accueilli par l'appelant à la poste des G______. Tant l'intimé C______ que D______ ont affirmé que l'appelant était le récipiendaire de cette drogue et devait remettre au premier EUR 1'530.- pour le transport, le second devant être rétribué pour son rôle de "surveillance" de la livraison à son retour à Lisbonne, sur l'argent que l'appelant devait lui remettre. Dans l'appartement de la rue F______, ont été retrouvés 477.60 g net de cocaïne en trois lots distincts, dont le taux de pureté était compris entre 45.3 % et 53.8%. Un sachet, contenant 32 ovules remplis avec 317 g net de cocaïne (161.1 g de cocaïne pure) avait été placé par l'intimé C______ sous le lavabo de la salle de bain. Un sachet, contenant cinq ovules de 50 g net de cocaïne (24.9 g de cocaïne pure) se trouvait sur un porte-manteau derrière la porte de la salle de bain, l'intimé C______ ayant contesté de manière constante avoir un lien avec ce "lot", et été acquitté en première instance, pour l'importation de ces cinq ovules. Un dernier sachet, contenant trois ovules de 110 g de cocaïne (55.9 g de cocaïne pure), a enfin été retrouvé dans un sac à dos situé dans le salon de l'appartement, correspondant aux trois plus gros ovules que l'intimé C______ a reconnus avoir transportés, placés dans son slip, et non ingérés, étant rappelé qu'il a terminé d'expulser huit ovules, contenant 79.2 g net de cocaïne (42.84 g de cocaïne pure), au quartier cellulaire des HUG. Les observations de la police et les écoutes téléphoniques, en particulier celles des</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4.1.3. Le droit de se taire fait partie des normes internationales généralement reconnues qui se trouvent au cœur de la notion de procès équitable, selon l'art. 6 par. 1 CEDH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w:t>
      </w:r>
    </w:p>
    <w:p>
      <w:r>
        <w:rPr>
          <w:b/>
        </w:rPr>
        <w:t>E. 4.2</w:t>
      </w:r>
    </w:p>
    <w:p>
      <w:r>
        <w:t>En l'espèce, la faute de A______ doit être qualifiée de grave. Alors qu'il avait déjà été condamné à une peine privative de liberté de 12 mois pour des faits spécifiques, en 2010, l'appelant s'est à nouveau livré à un trafic de cocaïne, démontrant ainsi une totale absence de prise de conscience et le peu de cas qu'il faisait du jugement prononcé à son encontre. Le réseau auquel il appartenait, et au sein duquel il occupait une position importante, présentait des ramifications internationales, son ou ses fournisseurs se trouvant à l'étranger. Il était en mesure tant de se procurer des quantités de cocaïne importante, d'un taux de pureté élevé, que de les écouler sur le marché genevois. Ses agissements ont par ailleurs porté sur une quantité non négligeable de drogue, à savoir 700 g nets. Sa collaboration à la procédure a été mauvaise. Tout au long de celle-ci, il a persisté à nier les faits qui lui étaient reprochés, y compris ceux ayant amené à sa condamnation par jugement du Tribunal de police du ______ 2010. Lors des diverses audiences pendant lesquelles les écoutes téléphoniques ont été instruites, il n'a pas hésité à inventer des explications toutes plus farfelues les unes que les autres pour tenter de justifier les éléments accablants qui ressortaient des diverses conversations. Au vu de ce qui précède, la condamnation à une peine privative de liberté de 40 mois prononcée en première instance apparaît adéquate et sera dès lors confirmée.</w:t>
      </w:r>
    </w:p>
    <w:p>
      <w:r>
        <w:rPr>
          <w:b/>
        </w:rPr>
        <w:t>E. 5</w:t>
      </w:r>
    </w:p>
    <w:p>
      <w:r>
        <w:t>5.1.1. À teneur de l'art. 429 al. 1 CPP, s'il bénéficie d'un acquittement total ou partiel, le prévenu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Conformément aux principes généraux, la preuve de l'existence du dommage, son ampleur et sa relation de causalité adéquate avec la poursuite pénale introduite à tort incombent au requérant (ATF 135 IV 43 consid. 4.1 p. 47 ; 117 IV 209 consid. 4b p. 218 ; arrêt du Tribunal fédéral 6B_596/2007 du 11 mars 2008 consid. 2.2). 5.1.2. La détention avant jugement au sens de l'art. 110 al. 4 CP constitue une mesure de contrainte de nature procédurale destinée notamment à garantir le bon déroulement de l'enquête pénale (Y. JEANNERET, Commentaire romand, Code pénal I , art. 1-110 CP, ad art. 51 CP, p. 520, N1). L'art. 51 CP prévoit d'imputer sur la peine les jours de détentions avant jugement subis par l'auteur dans le cadre de l'affaire qui vient d'être jugée ou d'une autre procédure. La privation de liberté à subir doit toujours être compensée avec celle déjà subie, pour autant que cela soit possible (ATF 133 IV 150 consid. 5.1.1 p. 155). L'art. 431 al. 2 CPP énonce d'ailleurs qu'une détention avant jugement dûment autorisée n'est indemnisée que si elle ne peut pas être imputée sur les sanctions prononcées à raison d'autres infractions, et le prévenu doit se le laisser opposer (arrêt du Tribunal fédéral 6B_169/2012 du 25 juin 2012 consid. 6). En d'autres termes, l'imputation, tant qu'elle reste possible, l'emporte sur l'indemnisation (Message relatif à l'unification du droit de la procédure pénale (CPP) du 21 décembre 2005, FF 2006 p. 1314 ; R. ROTH / L. MOREILLON (éds), Code pénal I : art. 1-100 CP , Bâle 2009, n. 9 ad art. 51), et le prévenu n'a pas le choix entre l'une ou l'autre (arrêts du Tribunal fédéral 6B_169/2012 du 25 juin 2012 c. 6; 1B_179/2011 du 17 juin 2011 c. 4.2 et les références citées ; 6B_84/2014 du 13 août 2014 c. 5.1 et ACPR/409/2013 du 29 août 2013). 5.1.3. La jurisprudence a clarifié le mode de réparation de l'atteinte subie par le prévenu, finalement acquitté ou bénéficiant d'un classement (partiel ou total), du fait de la privation de liberté par suite d'une détention avant jugement. Il en ressort que l'art. 51 CP l'emporte sur l'art. 429 al. 1 let. c CPP, de sorte que le juge doit prioritairement imputer les jours de détention avant jugement sur la peine prononcée. L'indemnisation n'intervient que dans la mesure où ces jours de détention ne peuvent plus faire l'objet d'une imputation. L'imputation de la détention avant jugement concerne aussi bien les peines pécuniaires que les peines privatives de liberté, assorties ou non du sursis. Cela vaut également pour le travail d'intérêt général (arrêt 6B_558/2013 13 décembre 2013 c. 1.5 et 1.6). L'indemnisation financière selon l'art. 429 al. 1 let. c CPP est ainsi subsidiaire à l'imputation et il n'existe aucun droit pour le prévenu concerné de choisir entre l'une ou l'autre voie.</w:t>
      </w:r>
    </w:p>
    <w:p>
      <w:r>
        <w:rPr>
          <w:b/>
        </w:rPr>
        <w:t>E. 5.2</w:t>
      </w:r>
    </w:p>
    <w:p>
      <w:r>
        <w:t>En l'espèce il convient d'imputer les jours de détention avant jugement subie par l'appelant dans la présente procédure, soit 405 jours, sur la peine prononcée de sorte que la voie à une quelconque indemnisation ne lui est pas ouverte et que les prétentions en indemnisation fondées sur l'art. 429 al. 1 let. c CPP doivent être rejetées.</w:t>
      </w:r>
    </w:p>
    <w:p>
      <w:r>
        <w:rPr>
          <w:b/>
        </w:rPr>
        <w:t>E. 6</w:t>
      </w:r>
    </w:p>
    <w:p>
      <w:r>
        <w:t>L'appelant ne remet, à juste titre, pas en cause les diverses confiscations, destructions et dévolution à l'Etat ordonnées par les premiers juges s'agissant de la drogue, du téléphone portable et des espèces saisies sur sa personne.</w:t>
      </w:r>
    </w:p>
    <w:p>
      <w:r>
        <w:rPr>
          <w:b/>
        </w:rPr>
        <w:t>E. 7</w:t>
      </w:r>
    </w:p>
    <w:p>
      <w:r>
        <w:t>L'appelant, qui succombe, sera condamné aux frais de la procédure d'appel, comprenant un émolument de décision de CHF 2'500.- (art. 428 CPP et 14 al. 1 let. e du Règlement fixant le tarif des frais en matière pénale du 22 décembre 2010 [RTFMP ; RS E 4 10.03]).</w:t>
      </w:r>
    </w:p>
    <w:p>
      <w:r>
        <w:rPr>
          <w:b/>
        </w:rPr>
        <w:t>E. 8</w:t>
      </w:r>
    </w:p>
    <w:p>
      <w:r>
        <w:t>Les motifs ayant conduit les premiers juges à prononcer, par ordonnance séparée du 12 juin 2015, le maintien de l'appelant, en détention pour des motifs de sûreté sont toujours d'actualité, de sorte que la mesure sera reconduite mutatis mutandis (ATF 139 IV 277 consid. 2.2 à 2.3).</w:t>
      </w:r>
    </w:p>
    <w:p>
      <w:r>
        <w:rPr>
          <w:b/>
        </w:rPr>
        <w:t>E. 9</w:t>
      </w:r>
    </w:p>
    <w:p>
      <w:r>
        <w:t>9.1.1.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Il n'y a pas lieu à couverture de la TVA lorsque l'avocat désigné a un statut de collaborateur, faute d'assujettissement (arrêts du Tribunal fédéral 6B_486/2013 du 16 juillet 2013 consid. 4 et 6B_638/2012 du</w:t>
      </w:r>
    </w:p>
    <w:p>
      <w:r>
        <w:rPr>
          <w:b/>
        </w:rPr>
        <w:t>E. 9.2</w:t>
      </w:r>
    </w:p>
    <w:p>
      <w:r>
        <w:t>En l'espèce, Me B______, a été nommée d'office le 7 octobre 2014. Conformément aux principes rappelés supra , il convient de retrancher de son état de frais la durée de 1h30' afférente à une conférence avec son mandant après réception de l'arrêt, 2h45' pour les postes relatifs à l'annonce et à la déclaration d'appel, qui n'ont pas à être motivés, compris dans le forfait pour activité diverses, et de retenir une durée globale de 4h pour la relecture du dossier et la préparation de l'audience, amplement suffisante pour une défense identique à celle formulée, et même moindre, qu'en première instance dans la mesure où un acquittement partiel a été prononcé. L'établissement du chargé, comportant deux pièces, entre également dans le forfait pour activités diverses (-1h). Pour l'audience devant la CPAR, il sera retenu une durée effective de 1h plus CHF 35.- de forfait vacation. Enfin, dans la mesure où Me B______ est collaboratrice, sa conclusion visant à ajouter la TVA à la taxation sera rejetée. En définitive, l'indemnité sera arrêtée à CHF 1'685.- correspondant à 12h heures d'activité au tarif de CHF 125.-/heure, plus la majoration forfaitaire de 10% vu l'ampleur de l'activité déployée en première instance et le montant de CHF 35.- pour déplacement. * * * * *</w:t>
      </w:r>
    </w:p>
    <w:p>
      <w:r>
        <w:rPr>
          <w:b/>
        </w:rPr>
        <w:t>E. 10</w:t>
      </w:r>
    </w:p>
    <w:p>
      <w:r>
        <w:t>décembre 2012 consid. 3.7).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9.1.2. Par arrêt du 6 novembre 2014 dans les causes BB.2014.26 et BB.2014.136-137, le Tribunal pénal fédéral a jugé qu'il convenait de tenter de satisfaire, dans la mesure où cela était encore possible a posteriori ,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"l'Etat de frais standard – Mode d'emploi et modèle" émis en 2002 et 2004, dans un souci de rationalisation et de simplification, par le Service de l'assistance juridique, autrefois chargé de la taxation. Elle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L'activité qui n'est pas nécessaire à la défense devant les autorités cantonales n'est pas couverte par l'assistance juridique cantonale.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 AARP/331/2015 du 27 juillet 2015 ; AARP/329/2015 du 30 juillet 2015 ; AARP/304/2015 du 16 juillet 2015 ; AARP/301/2015 du 20 juillet 2015 ; AARP/271/2015 du 8 juin 2015 ; AARP/198/2015 du 31 mars 2015 ; AARP/152/2015 du 24 mars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