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P/17708/2020 vom 16. Juli 2021</w:t>
      </w:r>
    </w:p>
    <w:p>
      <w:r>
        <w:t>GE Cour de justice, 2021-07-16, FR</w:t>
      </w:r>
    </w:p>
    <w:p>
      <w:r>
        <w:rPr>
          <w:b/>
        </w:rPr>
        <w:t xml:space="preserve">Quelle: </w:t>
      </w:r>
      <w:r>
        <w:t>https://mcp.opencaselaw.ch/entscheid/ge_gerichte_P_17708_2020</w:t>
      </w:r>
    </w:p>
    <w:p>
      <w:r>
        <w:t>FR: GE_GERICHTE P/17708/2020 du 16 juillet 2021</w:t>
      </w:r>
    </w:p>
    <w:p>
      <w:r>
        <w:t>IT: GE_GERICHTE P/17708/2020 del 16 luglio 2021</w:t>
      </w:r>
    </w:p>
    <w:p>
      <w:pPr>
        <w:pStyle w:val="Heading2"/>
      </w:pPr>
      <w:r>
        <w:t>Erwägungen</w:t>
      </w:r>
    </w:p>
    <w:p>
      <w:r>
        <w:rPr>
          <w:b/>
        </w:rPr>
        <w:t>E. 1</w:t>
      </w:r>
    </w:p>
    <w:p>
      <w:r>
        <w:t>1.1. L'art. 410 al. 1 let. a CPP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Les faits ou moyens de preuve sont sérieux lorsqu'ils sont propres à ébranler les constatations de fait sur lesquelles se fonde la condamnation et que l'état de fait ainsi modifié rend possible un jugement sensiblement plus favorable au condamné (ATF 130 IV 72 consid. 1). Le fait que le recourant a eu connaissance des faits ou moyens de preuve au moment du jugement de condamnation n'importe pas (ATF 130 IV 72 consid. 2.2 ; ATF 116 IV 353 consid. 3a ; ATF 69 IV 134 consid. 4). 1.2.1. 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(ATF 116 IV 262 consid. 3a). Il est par ailleurs garanti par l'art. 14 al. 7 du Pacte-ONU II et par l'art. 4 al. 1 du Protocole n° 7 à la CEDH. Cette disposition précise qu'aucune dérogation n'est autorisée (art. 4 al. 3 du Protocole n° 7 à la CEDH).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L'interdiction de la double poursuite constitue un empêchement de procéder, dont il doit être tenu compte à chaque stade de la procédure. 1.2.2. En principe, les actes de procédure viciés ne sont pas nuls mais annulables et déploient des effets juridiques lorsqu’ils ne sont pas contestés (ATF 137 I 273 consid. 3.1 ; arrêts du TF 6B_440/2015 du 18 novembre 2015, consid. 1.2 ; 6B_968/2014 du 24 décembre 2014 consid. 1.4). Les décisions viciées sont nulles lorsque le défaut dont elles sont affectées est particulièrement grave, lorsqu’il est manifeste ou, à tout le moins, facilement reconnaissable et lorsque la sécurité du droit n’est pas sérieusement compromise par le constat de nullité. Les défauts matériels d’une décision ne conduisent qu’exceptionnellement à sa nullité. Parmi les motifs de nullité entrent principalement en ligne de compte l’incompétence fonctionnelle et matérielle de l’autorité qui a pris la décision ainsi que les erreurs de procédure grossières. La nullité d’une décision doit être relevée d’office, en tout temps et à tous les stades de la procédure, par les autorités d’application (ATF 144 IV 362 consid. 1.4.3 et les références citées). 1.2.3. Au terme de l'art. 15 de la directive C.6 du Procureur général, le Ministère public renonce à entamer une procédure de révision (art. 410 ss CPP) et annule lui-même une ordonnance pénale en application par analogie des règles sur la révision lorsque l'ordonnance pénale porte manifestement sur des faits déjà appréhendés par une décision rendue antérieurement par lui-même, par un tribunal ou par une autorité d'un autre canton ( ne bis in idem ; AARP/348/2015 du 19 août 2015). Cette procédure n'est applicable qu'en l'absence de partie plaignante (art. 15.1). Il est procédé de la même manière en cas de nullité de l'ordonnance pénale, notamment en cas d'incompétence du Ministère public ratione aetatis ou de peine illégale. Dans cette dernière hypothèse, une nouvelle ordonnance est notifiée (art. 15.2).</w:t>
      </w:r>
    </w:p>
    <w:p>
      <w:r>
        <w:rPr>
          <w:b/>
        </w:rPr>
        <w:t>E. 1.3</w:t>
      </w:r>
    </w:p>
    <w:p>
      <w:r>
        <w:t>En l'espèce, A______ a été condamné à trois reprises pour rupture de ban, les 3 et 11 septembre 2020 dans le canton de Vaud, puis le 22 octobre 2020 à Genève. Les périodes pénales afférentes aux condamnations vaudoises, antérieures à celle prononcée par le MP et connues de celui-ci, sont, dans l'ordre chronologique : -        19 octobre 2017 au 1 er juillet 2019 ; -        2 juillet 2019 au 3 juin 2020 ; -        16 au 25 juin 2020. En retenant la période du 21 novembre 2017 au 21 octobre 2020, l'ordonnance pénale visée par la demande en révision viole le principe ne bis in idem .</w:t>
      </w:r>
    </w:p>
    <w:p>
      <w:r>
        <w:rPr>
          <w:b/>
        </w:rPr>
        <w:t>E. 1.4</w:t>
      </w:r>
    </w:p>
    <w:p>
      <w:r>
        <w:t>Le requérant n'allègue pas l'existence de faits nouveaux inconnus du MP au moment de rendre l'ordonnance dont la révision est demandée. Il n’y a donc pas à proprement parler de motif de révision. Néanmoins, l’'interdiction de la double poursuite étant un principe fondamental qui ne souffre aucune dérogation, il convient de constater d’office la nullité de ladite ordonnance, étant observé que le MP aurait pu et dû se saisir d'office et rectifier son ordonnance pénale ( cf. AARP/348/2015 du 19 août 2015 et l'art. 15 de la directive C.6 du Procureur général fondé sur cette jurisprudence), lorsqu’il a été requis par la CPAR de se déterminer sur la demande de révision.</w:t>
      </w:r>
    </w:p>
    <w:p>
      <w:r>
        <w:rPr>
          <w:b/>
        </w:rPr>
        <w:t>E. 2</w:t>
      </w:r>
    </w:p>
    <w:p>
      <w:r>
        <w:t>La nullité de l'ordonnance pénale du 22 octobre 2020 sera constatée et le dossier renvoyé au MP, lequel rendra une nouvelle ordonnance pénale, qui sanctionnera la rupture de ban pour les périodes non couvertes par les décisions vaudoises et fixera éventuellement une peine complémentaire, sensiblement plus clémente. Il lui appartiendra aussi de rectifier les inscriptions correspondantes au casier judiciaire. L'amende de CHF 300.- pour la contravention à l'art. 19a ch. 1 LStup sera prononcée en sus.</w:t>
      </w:r>
    </w:p>
    <w:p>
      <w:r>
        <w:rPr>
          <w:b/>
        </w:rPr>
        <w:t>E. 3</w:t>
      </w:r>
    </w:p>
    <w:p>
      <w:r>
        <w:t>Vu la solution adoptée, les frais de la procédure seront laissés à la charge de l'Etat.</w:t>
      </w:r>
    </w:p>
    <w:p>
      <w:r>
        <w:rPr>
          <w:b/>
        </w:rPr>
        <w:t>E. 4</w:t>
      </w:r>
    </w:p>
    <w:p>
      <w:r>
        <w:t>M e B______ est nommée défenseure d'office de A______ dans la présente procédure. En effet, l'assistance d'un défenseur était nécessaire pour sauvegarder ses intérêts, la peine prononcée par le MP dans l'ordonnance litigieuse est supérieure à quatre mois, de sorte que l'affaire n'est pas de peu de gravité, et A______ ne dispose de toute évidence pas des moyens nécessaires pour rémunérer un défenseur privé (art. 132 al. 1 let. b et al. 2 CPP). La défenseure d'office n'a pas produit d'état de frais. Une heure pour la rédaction de la demande paraît adéquate. Partant, la rémunération sera arrêtée à CHF 258.50, pour une heure d'activité de chef d'étude au tarif de CHF 200.-/heure (CHF 200.-), plus la majoration forfaitaire de 20% (CHF 40.-) et l'équivalant de la TVA au taux de 7.7% (CHF 18.50).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