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P/17645/2019 vom 9. Dezember 2019</w:t>
      </w:r>
    </w:p>
    <w:p>
      <w:r>
        <w:t>GE Cour de justice, 2019-12-09, FR</w:t>
      </w:r>
    </w:p>
    <w:p>
      <w:r>
        <w:rPr>
          <w:b/>
        </w:rPr>
        <w:t xml:space="preserve">Quelle: </w:t>
      </w:r>
      <w:r>
        <w:t>https://mcp.opencaselaw.ch/entscheid/ge_gerichte_P_17645_2019</w:t>
      </w:r>
    </w:p>
    <w:p>
      <w:r>
        <w:t>FR: GE_GERICHTE P/17645/2019 du 9 décembre 2019</w:t>
      </w:r>
    </w:p>
    <w:p>
      <w:r>
        <w:t>IT: GE_GERICHTE P/17645/2019 del 9 dicembre 2019</w:t>
      </w:r>
    </w:p>
    <w:p>
      <w:pPr>
        <w:pStyle w:val="Heading2"/>
      </w:pPr>
      <w:r>
        <w:t>Regeste</w:t>
      </w:r>
    </w:p>
    <w:p>
      <w:r>
        <w:t>DIFFAMATION;PREUVE LIBÉRATOIRE;DÉPENDANCE(MALADIE) | CPP.310; CP.173</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Chambre de céans jouit d'un plein pouvoir de cognition en droit, en fait et en opportunité (art. 393 al. 2 CPP) (ATF 137 I 195 consid. 2.3.2 p. 197; arrêt du Tribunal fédéral 1B_524/2012 du 15 novembre 2012 consid. 2.1).</w:t>
      </w:r>
    </w:p>
    <w:p>
      <w:r>
        <w:rPr>
          <w:b/>
        </w:rPr>
        <w:t>E. 4</w:t>
      </w:r>
    </w:p>
    <w:p>
      <w:r>
        <w:t>Le recourant fait grief au Ministère public de ne pas être entré en matière sur les faits dénoncés dans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Fondation pour la formation continue des juges suisses ,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4.2.1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p. 58 et les arrêts cités). 4.2.2 Lorsque l'auteur évoque une maladie, il n'y a pas d'atteinte à l'honneur si la personne visée ne peut être, en aucune façon, responsable d'un comportement méprisable au stade de la survenance ou des effets de la maladie. En revanche, il y a atteinte à l'honneur si l'auteur sous-entend un comportement méprisable que la personne visée pouvait maitriser. Ainsi, si l'évocation de la maladie est détournée de sa signification propre dans le seul but d'abaisser la personne visée, il peut y avoir, en fonction des termes employés, une atteinte à l'honneur (B. CORBOZ, Les infractions en droit suisse , vol. I, 3ème éd., Berne 2010, n° 7 et 13 ad art. 173 CP et les références citées). 4.2.3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4.2.4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 3.1 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 nouv. éd., Genève/Zurich/Bâle 2009, n. 2057 et 2058).</w:t>
      </w:r>
    </w:p>
    <w:p>
      <w:r>
        <w:rPr>
          <w:b/>
        </w:rPr>
        <w:t>E. 4.3</w:t>
      </w:r>
    </w:p>
    <w:p>
      <w:r>
        <w:t>Le recourant considère, en l'espèce, qu'en révélant sa séropositivité à E______ - son compagnon à l'époque des faits -, le mis en cause aurait jeté sur lui le soupçon de tenir une conduite contraire à l'honneur. Si D______ a reconnu avoir révélé la séropositivité du recourant à E______ uniquement - soit à un cercle extrêmement restreint de personnes -, il soutient n'avoir aucunement eu l'intention de lui nuire, sa démarche étant seulement motivée par la volonté de préserver la santé de E______, lequel ignorait le statut sérologique du recourant. Rien au dossier, ni dans la plainte, ne permet d'inférer que le mis en cause aurait cherché à atteindre l'honneur pénalement protégé du recourant, l'évocation de la maladie de ce dernier n'ayant pas été détournée de sa signification propre dans le but de l'abaisser ou de lui nuire. Ainsi, faute de prévention pénale suffisante, c'est à raison que le Ministère public a refusé d'entrer en matière et aucune mesure d'instruction pertinente ne paraît à même de modifier ce constat. Au surplus, cette prévention eût-elle existé qu'il eût fallu confirmer la décision entreprise, le mis en cause pouvant être mis au bénéfice de la preuve libératoire de l'art. 173 al. 2 CP, justifiant le prononcé d'une ordonnance de non-entrée en matière.</w:t>
      </w:r>
    </w:p>
    <w:p>
      <w:r>
        <w:rPr>
          <w:b/>
        </w:rPr>
        <w:t>E. 5</w:t>
      </w:r>
    </w:p>
    <w:p>
      <w:r>
        <w:t>Justifiée, l'ordonnance querellée sera donc confirmée.</w:t>
      </w:r>
    </w:p>
    <w:p>
      <w:r>
        <w:rPr>
          <w:b/>
        </w:rPr>
        <w:t>E. 6</w:t>
      </w:r>
    </w:p>
    <w:p>
      <w:r>
        <w:t>Le recourant, qui succombe, a sollicité d'être mis au bénéfice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6.2</w:t>
      </w:r>
    </w:p>
    <w:p>
      <w:r>
        <w:t>En l'espèce, s'il est établi que le recourant remplit la condition de l'indigence, il a été jugé supra que ses griefs étaient juridiquement infondés. Partant, sa cause était dénuée de chances de succès. La requête ne peut dès lors qu'être rejetée.</w:t>
      </w:r>
    </w:p>
    <w:p>
      <w:r>
        <w:rPr>
          <w:b/>
        </w:rPr>
        <w:t>E. 7</w:t>
      </w:r>
    </w:p>
    <w:p>
      <w:r>
        <w:t>Le recourant, qui succombe, supportera les frais envers l'État, qui seront fixés en totalité à CHF 500.-, pour tenir compte de sa situation financière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