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P/17568/2015 vom 31. Oktober 2016</w:t>
      </w:r>
    </w:p>
    <w:p>
      <w:r>
        <w:t>GE Cour de justice, 2016-10-31, FR</w:t>
      </w:r>
    </w:p>
    <w:p>
      <w:r>
        <w:rPr>
          <w:b/>
        </w:rPr>
        <w:t xml:space="preserve">Quelle: </w:t>
      </w:r>
      <w:r>
        <w:t>https://mcp.opencaselaw.ch/entscheid/ge_gerichte_P_17568_2015</w:t>
      </w:r>
    </w:p>
    <w:p>
      <w:r>
        <w:t>FR: GE_GERICHTE P/17568/2015 du 31 octobre 2016</w:t>
      </w:r>
    </w:p>
    <w:p>
      <w:r>
        <w:t>IT: GE_GERICHTE P/17568/2015 del 31 ottobre 2016</w:t>
      </w:r>
    </w:p>
    <w:p>
      <w:pPr>
        <w:pStyle w:val="Heading2"/>
      </w:pPr>
      <w:r>
        <w:t>Regeste</w:t>
      </w:r>
    </w:p>
    <w:p>
      <w:r>
        <w:t>IN DUBIO PRO REO; PROCÈS ÉQUITABLE; CONFRONTATION; FIXATION DE LA PEINE; PEINE PRIVATIVE DE LIBERTÉ; SURSIS À L'EXÉCUTION DE LA PEINE | CEDH.6.2; CEDH.6.3; CP.41; CP.42;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et 124 IV 86 consid. 2a).</w:t>
      </w:r>
    </w:p>
    <w:p>
      <w:r>
        <w:rPr>
          <w:b/>
        </w:rPr>
        <w:t>E. 2.2</w:t>
      </w:r>
    </w:p>
    <w:p>
      <w:r>
        <w:t>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ATF 129 I 151 consid. 3.1 p. 153 et les références citées). Ce droit n'est toutefois absolu que lorsque le témoignage litigieux est déterminant, à savoir lorsqu'il constitue la seule preuve ou pour le moins une preuve essentielle (ATF 131 I 476 consid. 2.2 p. 481 ; ATF 129 I 151 consid. 3.1 p. 154 et les arrêts cités).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w:t>
      </w:r>
    </w:p>
    <w:p>
      <w:r>
        <w:rPr>
          <w:b/>
        </w:rPr>
        <w:t>E. 2.3</w:t>
      </w:r>
    </w:p>
    <w:p>
      <w:r>
        <w:t>Les dénégations de l'appelant ne résistent pas à l'examen. Sa mise en cause découle de plusieurs facteurs dont le premier, et non le moindre, est constitué des observations de la police. Le manège observé par les gendarmes dans le quartier des Pâquis, à une heure avancée de la soirée, n'aurait aucun sens s'il ne s'inscrivait pas dans une démarche de vente de stupéfiants. Deux individus qui vont au contact sans que l'un et l'autre n'y trouvent leur compte ne répond à aucune logique, sauf à se prévaloir d'une relation d'amitié qui n'est pas alléguée en l'espèce. L'appelant se méprend sur l'interprétation qu'il fait des propos tenus par le témoin en audience de jugement. On ne peut raisonnablement soutenir que l'attention des forces de l'ordre ait été attirée par le fait qu'un individu aille au contact d'un autre sans motif. C'est bien l'émergence d'une transaction qui les a convaincues d'immobiliser le véhicule de patrouille. La réaction de l'appelant, qui a couru à l'approche des gendarmes, ne répond pas davantage à la logique qu'il défend, encore qu'il ait pu vouloir éviter une énième interpellation pour infraction à la LEtr. L'appelant a été formellement reconnu par l'acheteur dans des circonstances qui ne prêtent pas le flanc à la critique. Même en témoignant de manière empirique, son témoignage étant ensuite consigné sur un formulaire pré imprimé, l'individu observé par la police a pu clairement désigner son vendeur. Il l'a sans réserve reconnu comme tel, sans que la teneur de son courrier adressé au Tribunal de police ne soit de nature à modifier cette appréciation. Par ses lignes, l'acheteur n'a fait qu'affirmer sa méconnaissance du patronyme de son vendeur, ce qui ne tient pas de la surprise, à l'instar de son ignorance du numéro de la cause, ce qui n'est guère plus surprenant. À cela s'ajoute l'élément factuel voulant que le billet ayant, selon l'acheteur, permis l'achat se soit retrouvé dans les mains du vendeur, quelques dizaines de secondes après un "contact" entre les deux individus observés, ce qui ne saurait tenir de la seule coïncidence. C'est sans compter que la monnaie en vigueur aux Pâquis est l'argent suisse, sous la notable exception des transactions de drogue dans lesquelles la clientèle européenne, très active, est susceptible d'utiliser des euros. Il est tout aussi surprenant que l'amie de l'appelant lui ait fourni de l'argent en euros pour l'achat projeté, sans compter que la vente de boissons alcooliques est interdite sur le domaine public à partir de 21h00 (art. 11 de la loi sur la vente à l'emporter des boissons alcooliques du 22 janvier 2004 [LVEBA ; I 2 24]). Au vu de ce qui précède, plusieurs éléments fondaient le droit du Tribunal de police à se passer d'une confrontation formelle avec le témoin C______. Aussi la culpabilité de l'appelant en matière d'infraction à la LStup sera-t-elle confirmée, celle à la LEtr étant admise et réalisée au regard des conditions de l'art. 115 al. 1 let. a et b LEtr.</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Les antécédents judiciaires ne sauraient toutefois conduire à une augmentation massive de la peine, parce que cela reviendrait à condamner une deuxième fois pour des actes déjà jugés (ATF 120 IV 136 consid. 3b p. 145).</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w:t>
      </w:r>
    </w:p>
    <w:p>
      <w:r>
        <w:rPr>
          <w:b/>
        </w:rPr>
        <w:t>E. 3.3</w:t>
      </w:r>
    </w:p>
    <w:p>
      <w:r>
        <w:t>Il convient d'examiner en premier lieu si les conditions du sursis sont réunies ou non, selon les critères posés par l'art. 42 CP (ATF 135 IV 180 consid. 2.1 p. 185).</w:t>
      </w:r>
    </w:p>
    <w:p>
      <w:r>
        <w:rPr>
          <w:b/>
        </w:rPr>
        <w:t>E. 3.3.1</w:t>
      </w:r>
    </w:p>
    <w:p>
      <w:r>
        <w:t>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3.3.2</w:t>
      </w:r>
    </w:p>
    <w:p>
      <w:r>
        <w:t>L'infraction à l'art. 19 al. 1 LStup est passible d'une peine privative de liberté de trois ans au plus ou d'une peine pécuniaire, celle réprimée à l'art. 115 al. 1 LEtr d'une peine privative de liberté d'un an au plus ou d'une peine pécuniaire.</w:t>
      </w:r>
    </w:p>
    <w:p>
      <w:r>
        <w:rPr>
          <w:b/>
        </w:rPr>
        <w:t>E. 3.4</w:t>
      </w:r>
    </w:p>
    <w:p>
      <w:r>
        <w:t>L'appelant a de très nombreux antécédents spécifiques en matière de LEtr. Ses précédentes condamnations ne l'ont nullement dissuadé de demeurer en Suisse, pays qu'il n'a, selon toute vraisemblance, aucunement l'intention de quitter. Son absence de statut l'empêche pourtant de bénéficier d'une activité lucrative stable. Ce défaut de ressources financières l'incite à vouloir améliorer sa situation autrement, ce qui fait naître un sérieux risque de récidive en matière de violation de la LStup. Ces éléments rendent le pronostic futur défavorable, ce qui conduit à écarter le sursis. Sa faute n'est pas négligeable. Sans égard aux normes en vigueur en matière de droit des étrangers, il persiste à ne pas respecter les décisions d'éloignement de la Suisse, malgré les huit précédentes condamnations dont il a fait l'objet pour des faits similaires. Il s'obstine même à y revenir après ses expulsions. Ses attaches alléguées à Genève ne sont pas documentées. Sa collaboration a été mauvaise, dans le sens où il a donné des versions peu crédibles sur les circonstances de la vente de marijuana qui représente un palier supplémentaire dans la violation des normes pénales en vigueur. Sa situation personnelle précaire ne saurait excuser son comportement. Par ailleurs, l'appelant ne peut faire valoir aucune circonstance atténuante au sens de l'art. 48 CP, disposition dont il ne se prévaut au demeurant pas. Étant donné sa situation administrative en Suisse, l'absence de toute possibilité de gain licite et ses précédentes condamnations sans effet dissuasif, le travail d'intérêt général est exclu au même titre que la peine pécuniaire. C'est dès lors à juste titre que le premier juge a prononcé à l'encontre de l'appelant une courte peine privative de liberté, seule peine envisageable en l'espèce, ainsi qu'une amende pour la contravention à la LStup. La quotité de la sanction ne prête pas le flanc à la critique au vu des nombreux antécédents de l'appelant et de sa faute. L'appel sera ainsi rejeté et le jugement du Tribunal de police confirmé.</w:t>
      </w:r>
    </w:p>
    <w:p>
      <w:r>
        <w:rPr>
          <w:b/>
        </w:rPr>
        <w:t>E. 4</w:t>
      </w:r>
    </w:p>
    <w:p>
      <w:r>
        <w:t>. L'appelant, qui succombe, supportera les frais de la procédure envers l'État (art. 428 CPP).</w:t>
      </w:r>
    </w:p>
    <w:p>
      <w:r>
        <w:rPr>
          <w:b/>
        </w:rPr>
        <w:t>E. 5</w:t>
      </w:r>
    </w:p>
    <w:p>
      <w:r>
        <w:t>Considéré dans sa globalité, l'état de frais produit par le défenseur d'office de A______ paraît adéquat et conforme aux principes qui régissent l'assistance juridique, de sorte qu'il n'est pas nécessaire de reprendre le détail des postes qui le composent. Aussi, l'indemnité de CHF 421.20, correspondant à cinq heures d'activité au tarif de CHF 65.-/heure [CHF 325.-], plus la majoration forfaitaire de 20% [CHF 65.-] et l'équivalent de la TVA au taux de 8% [CHF 31.20],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