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P/17550/2008 vom 9. Januar 2015</w:t>
      </w:r>
    </w:p>
    <w:p>
      <w:r>
        <w:t>GE Cour de justice, 2015-01-09, FR</w:t>
      </w:r>
    </w:p>
    <w:p>
      <w:r>
        <w:rPr>
          <w:b/>
        </w:rPr>
        <w:t xml:space="preserve">Quelle: </w:t>
      </w:r>
      <w:r>
        <w:t>https://mcp.opencaselaw.ch/entscheid/ge_gerichte_P_17550_2008</w:t>
      </w:r>
    </w:p>
    <w:p>
      <w:r>
        <w:t>FR: GE_GERICHTE P/17550/2008 du 9 janvier 2015</w:t>
      </w:r>
    </w:p>
    <w:p>
      <w:r>
        <w:t>IT: GE_GERICHTE P/17550/2008 del 9 gennaio 2015</w:t>
      </w:r>
    </w:p>
    <w:p>
      <w:pPr>
        <w:pStyle w:val="Heading2"/>
      </w:pPr>
      <w:r>
        <w:t>Regeste</w:t>
      </w:r>
    </w:p>
    <w:p>
      <w:r>
        <w:t>LÉSION CORPORELLE SIMPLE; LÉGITIME DÉFENSE; ATTÉNUATION DE LA PEINE; EXEMPTION DE PEINE | CP.123.1; CP.126; CP.15; CP.47; CP.48.c; CP.52; CPP.135.2; CPP.422</w:t>
      </w:r>
    </w:p>
    <w:p>
      <w:pPr>
        <w:pStyle w:val="Heading2"/>
      </w:pPr>
      <w:r>
        <w:t>Erwägungen</w:t>
      </w:r>
    </w:p>
    <w:p>
      <w:r>
        <w:rPr>
          <w:b/>
        </w:rPr>
        <w:t>E. 1.1</w:t>
      </w:r>
    </w:p>
    <w:p>
      <w:r>
        <w:t>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 arrêt du Tribunal fédéral 6B_534/2011 du 5 janvier 2012 consid. 1.2). Des faits nouveaux ne peuvent être pris en considération que sur les points qui ont fait l’objet du renvoi, lesquels ne peuvent être ni étendus, ni fixés sur une base juridique nouvelle (ATF 131 III 91 consid. 5.2 p. 94 ; arrêt du Tribunal fédéral 6B_534/2011 du 5 janvier 2012 consid. 1.2).![endif]&gt;![if&gt;</w:t>
      </w:r>
    </w:p>
    <w:p>
      <w:r>
        <w:rPr>
          <w:b/>
        </w:rPr>
        <w:t>E. 1.2</w:t>
      </w:r>
    </w:p>
    <w:p>
      <w:r>
        <w:t>Aux questions répertoriées par le Tribunal fédéral que la juridiction d'appel est invitée à traiter s'ajoutent l'examen de la circonstance atténuante de l'émotion violente et, subsidiairement, l'application de l'art. 52 CP.</w:t>
      </w:r>
    </w:p>
    <w:p>
      <w:r>
        <w:rPr>
          <w:b/>
        </w:rPr>
        <w:t>E. 2.1</w:t>
      </w:r>
    </w:p>
    <w:p>
      <w:r>
        <w:t>La notion de lésions corporelles simples est définie à l'article 123 CP, qui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La distinction entre lésions corporelles et voies de fait peut s'avérer délicate, notamment lorsque l'atteinte s'est limitée à des contusions, meurtrissures, écorchures ou griffures.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occasionnait des lésions corporelles ; il en allait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119 IV 25 consid. 2a p. 26/27).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rPr>
          <w:b/>
        </w:rPr>
        <w:t>E. 2.2</w:t>
      </w:r>
    </w:p>
    <w:p>
      <w:r>
        <w:t>En l'espèce, l'atteinte à l'intégrité corporelle de la plaignante ne s'est pas limitée à des contusions, meurtrissures, écorchures ou griffures, qui pourraient justifier des voies de fait. Le certificat médical des HUG mentionne des dermabrasions dans la région nasale, une plaie superficielle sur la face et des ecchymoses à plusieurs endroits du corps. Sur la base des mêmes constatations, le témoin C______ en avait déduit que la partie plaignante avait été battue. Selon le médecin légiste, certaines lésions étaient évocatrices d'une violence exercée au niveau du cou et les blessures constatées sur le visage étaient compatibles avec des coups de poing, lesquels ont précisément été reconnus par l'appelant. L'appréciation de la psychologue qui a diagnostiqué divers symptômes compatibles avec des actes de violence d'une certaine gravité constitue un indice supplémentaire pour retenir la qualification de lésions corporelles, laquelle doit être confirmée. 2.3.1 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arrêt du Tribunal fédéral 6B_926/2009 du 15 décembre 2009 consid. 3.2). Cette condition n’est pas réalisée lorsque l’attaque a cessé ou qu’il n’y a pas encore lieu de s’y attendre (ATF 93 IV 81 p. 83). Une attaque n’est cependant pas achevée aussi longtemps que le risque d’une nouvelle atteinte ou d’une aggravation de celle-ci par l’assaillant reste imminent (ATF 102 IV 1 consid. 2b p. 4s). S’agissant en particulier de la menace d’une attaque imminente contre la vie ou l’intégrité corporelle, celui qui est visé n’a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p. 83s). Par ailleurs, l’acte de celui qui est attaqué ou menacé de l’être doit tendre à la défense : un comportement visant à se venger ou à punir ne relève pas de la légitime défense, pas davantage qu’un comportement qui tend à prévenir une attaque, certes possible, mais encore incertaine (arrêt du Tribunal fédéral 6B_926/2009 du 15 décembre 2009 consid. 3.2). La défense doit apparaître proportionnée au regard de l’ensemble des circonstances. Doivent être examinés la gravité de l’attaque, les biens juridiques menacés par celle-ci et par les moyens de défense, la nature de ces derniers ainsi que l’usage concret qui en a été fait. Les biens juridiquement protégés de part et d’autre doivent également être mis en balance. Encore faut-il que le résultat de cette pesée des dangers en présence soit reconnaissable sans peine par celui qui veut repousser l’attaque, l’expérience enseignant qu’il doit réagir rapidement (ATF 107 IV 12 consid. 3 p. 15 ; ATF 102 IV 65 consid. 2a p. 68).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e édition, Zurich 2011, n. 555, p. 189). 2.3.2 L'appelant a reconnu qu'il s'était montré lourd et insistant, notamment après que la plaignante eut manifesté sa réticence et crié. Il l'avait fermement tenue par le cou, lui avait tiré les cheveux et l'avait frappée. Contrairement à ce qu'il soutient dorénavant, ses actes empreints de violence ont précédé l'épisode de coups réciproques, chacun réagissant alors à la provocation de l'autre. L'appelant a lui-même créé un climat hostile, laissant croire à la plaignante que sa vie était en danger et qu'elle risquait de subir un viol si elle ne réagissait pas d'une manière ou d'une autre. En se déshabillant pour éprouver un sentiment de nudité, l'appelant a apparemment démontré sa détermination, même s'il ne voulait pas dans son for intérieur passer à l'acte. Il n'a eu de cesse de continuer ses actes, interprétant chacune des attitudes de la partie plaignante comme insignifiante (elle lui avait repoussé la main dans un geste qu'il n'avait pas jugé ferme, elle gigotait un peu sans être franche, en insistant un peu, il pensait pouvoir passer du temps avec elle, etc.). La plaignante n'a fait que répondre à des provocations de sa part, certes avec force, ce que son état d'alcoolisation peut expliquer. Elle a au surplus été constante dans son récit dans le sens où l'appelant avait commencé par la frapper en entrant dans le logement. Ainsi l'appelant n'a-t-il pas apporté la preuve, même au stade de la vraisemblance, qu'il avait agi en réaction à une attaque ou à la menace d'une attaque imminente, de sorte qu'il ne saurait se prévaloir d'un état de légitime défense. 2.4.1 La portée de la circonstance atténuante prévue à l'art. 48 let. c CP a été étendue puisque le nouveau texte légal généralise la prise en considération de l'émotion violente et du profond désarroi, qui étaient jusque-là uniquement pris en considération dans la définition du meurtre passionnel (art. 113 CP). La jurisprudence ancienne relative à la colère et à la douleur violente, produites par une provocation injuste ou une offense imméritée, conserve sa pertinence, mais il convient également de se référer à la jurisprudence relative à l'art. 113 CP pour interpréter les notions d'émotion violente que les circonstances rendaient excusables et de profond désarroi (arrêts du Tribunal fédéral 6B_105/2009 du 22 mai 2009 consid. 3.1. et 6B_622/2008 du 13 janvier 2009 consid. 8.1).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118 IV 233 consid. 2a p. 236). La réalisation de cette condition a ainsi notamment été niée dans le cas d'accusés qui, dans le cadre d'affrontements opposant deux groupes d'individus, étaient manifestement prêts à réagir aux événements, au vu du climat tendu qui régnait (ATF 104 IV 232 consid. 2c p. 237/238). L'état d'émotion violente ou celui de profond désarroi doit être rendu excusable par les circonstances (ATF 119 IV 203 consid. 2a p. 204 ; 118 IV 233 consid. 2a p. 236). Le plus souvent, il est rendu excusable par le comportement blâmable de la victime à l'égard de l'auteur, mais il peut aussi l'être par le comportement d'un tiers ou par des circonstances objectives (ATF 119 IV 202 consid. 2a p. 205).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 107 IV 103 consid. 2b/bb p. 106). Il doit par ailleurs s'agir de circonstances objectives, de sorte qu'il faut se demander si un tiers raisonnable, placé dans la même situation que l'auteur, se serait trouvé dans le même état (ATF 108 IV 99 consid. 3b p. 102 ; 107 IV 103 consid. 2b/bb p. 106). Enfin, il faut qu'il existe une certaine proportionnalité entre la provocation, d'une part, et la réaction de l'auteur, d'autre part (arrêt du Tribunal fédéral 6B_517/2008 du 27 août 2008 consid. 5.3.2). 2.4.2 Il a été admis supra que l'appelant a commencé par frapper la partie plaignante. Le sentiment de frustration et les douleurs ressenties après que la victime se fut rebellée en réaction à ses propres excès ne sauraient avoir conduit l'appelant dans un désarroi profond témoignant d'une émotion violente. Celui-ci s'est mis lui-même dans une impasse, en refusant de céder devant la résistance affichée par sa victime. Il ne s'est pas retrouvé dans une situation dramatique où il aurait été piégé, puisqu'il lui était loisible de quitter les lieux sans en être empêché, ce qu'aurait fait tout autre individu capable de se maîtriser. C'est d'ailleurs ce qu'il a fait au terme de l'altercation. L'appelant ne peut pas se prévaloir de la circonstance atténuante de l'art. 48 let. c CP, car, par son comportement, il tient une responsabilité prépondérante dans l'escalade des coups échangés, en insistant malgré le refus affiché par l'intimée qui lui avait peu ou prou fait comprendre son refus de céder à ses avances. Aussi cette circonstance atténuante ne doit-elle pas être retenue en faveur de l'appelant.</w:t>
      </w:r>
    </w:p>
    <w:p>
      <w:r>
        <w:rPr>
          <w:b/>
        </w:rPr>
        <w:t>E. 3</w:t>
      </w:r>
    </w:p>
    <w:p>
      <w:r>
        <w:t>3.1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En présence d'une infraction poursuivie sur plainte, l'art. 52 CP doit être appliqué avec retenue et seulement en présence de cas bagatelle absolus (N. SCHMID, Schweizerische Strafprozessordnung : Praxiskommentar , 2 e éd., Zurich 2013, n. 4 ad art. 8).</w:t>
      </w:r>
    </w:p>
    <w:p>
      <w:r>
        <w:rPr>
          <w:b/>
        </w:rPr>
        <w:t>E. 3.2</w:t>
      </w:r>
    </w:p>
    <w:p>
      <w:r>
        <w:t>La faute de l’appelant ne peut être qualifiée de cas bagatelle, même en tenant compte des circonstances particulières du contentieux l'ayant opposé à la partie plaignante et du temps écoulé. Le résultat des actes reprochés n’est pas non plus anodin compte tenu du bien juridique protégé, à savoir l'intégrité corporelle, ainsi que de son impact sur le psychisme de la victime. Il ne peut dès lors être admis que tant la culpabilité que les conséquences des actes de l'appelant sont peu importantes, au point qu’il puisse bénéficier d’une exemption de peine qui, si elle venait à être retenue, reviendrait à vider l'art. 123 CP de son sens.</w:t>
      </w:r>
    </w:p>
    <w:p>
      <w:r>
        <w:rPr>
          <w:b/>
        </w:rPr>
        <w:t>E. 3.3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Selon la jurisprudence, l'absence d'antécédents a, en principe, un effet neutre sur la fixation de la peine et n'a donc pas à être prise en considération dans un sens atténuant (…) (ATF 136 IV 1 consid. 2.6 p. 2).</w:t>
      </w:r>
    </w:p>
    <w:p>
      <w:r>
        <w:rPr>
          <w:b/>
        </w:rPr>
        <w:t>E. 3.4</w:t>
      </w:r>
    </w:p>
    <w:p>
      <w:r>
        <w:t>La fixation de la peine intervient en deux phases différentes. Le Tribunal détermine d'abord le nombre des jours-amende en fonction de la culpabilité de l'auteur (al. 1). Il doit ensuite arrêter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 (ATF 134 IV 1 consid. 5 et 6 p. 9 et 15 ; arrêt du Tribunal fédéral 6B_541/2007 du 13 mai 2008 consid. 5 et 6).</w:t>
      </w:r>
    </w:p>
    <w:p>
      <w:r>
        <w:rPr>
          <w:b/>
        </w:rPr>
        <w:t>E. 3.4.1</w:t>
      </w:r>
    </w:p>
    <w:p>
      <w:r>
        <w:t>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w:t>
      </w:r>
    </w:p>
    <w:p>
      <w:r>
        <w:rPr>
          <w:b/>
        </w:rPr>
        <w:t>E. 3.4.2</w:t>
      </w:r>
    </w:p>
    <w:p>
      <w:r>
        <w:t>La détermination de la quotité du jour-amende se fait selon le principe du revenu net, soit celui que l'auteur réalise en moyenne quotidiennement, quelle qu'en soit la source, ce qui inclut notamment les prestations d'aide sociale.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Le revenu net constitue le point de départ pour fixer la quotité du jour-amende, même pour les personnes à faible capacité de revenu. La référence au minimum vital fournit cependant au tribunal un motif justifiant de s'écarter du principe du revenu net et lui permet d'arrêter le montant du jour-amende à un niveau sensiblement inférieur. Le minimum vital a comme le critère du niveau de vie un effet correctif. Le Tribunal fédéral a désormais fixé le montant minimal du jour-amende à CHF 10.-, même pour les condamnés bénéficiant d'un faible revenu (ATF 135 IV 180 consid. 1.4.2 et arrêt 6B_760/2008 du 30 juin 2009 consid. 2.1). 3.5.1 La faute de l'appelant est significative. Il a fait un usage inadmissible de la violence, tant physique que verbale, dans un contexte de frustration, afin d'obtenir les faveurs de la plaignante. Confronté à son refus, il a choisi de se montrer insistant, menaçant, essayant de jouer sur les faiblesses de la partie plaignante pour arriver à ses fins, quitte à user de moyens détournés. Sa collaboration n'a pas été bonne. Bien qu'il ait admis certains faits, il n'a eu de cesse d'essayer de faire supporter à la plaignante la responsabilité de leur altercation. A ce stade de la procédure et malgré le temps écoulé, l'appelant ne semble toujours pas avoir pris conscience du caractère répréhensible de ses actes. Il se complait dans ses problèmes personnels plutôt que de manifester quelque sentiment de compassion pour la victime, même si, de la correspondance du père de l'appelant, on peut comprendre que son retour à la vie normale n'a pas été aisé. L'appelant est sans antécédent spécifique. Dans ces circonstances, la peine de 180 jours-amende est en adéquation avec la faute de l'appelant. Le temps écoulé et les vicissitudes de la procédure ont cependant eu pour effet de tenir sous pression l'appelant, sans compter les effets néfastes sur sa capacité de recouvrer un emploi dans sa branche d'activité. Pour ces motifs, la peine sera revue à la baisse et fixée à 140 jours-amende. Le délai d'épreuve doit être laissé à trois ans vu le peu d'introspection de l'appelant et sa propension à faire preuve de violence face à la résistance d'autrui. Un délai d'épreuve non réduit au minimum est de nature à opérer un effet dissuasif. 3.5.2 L'appelant n'a pas de charges familiales. Il vit avec son père, qui lui demande de participer aux frais en fonction de ses ressources mais n'exige aucun loyer. Ses revenus n'ont pas dépassé les EUR 1'000.-, que ce soit sous forme d'activité salariée ou comme indemnités de chômage. Sa capacité contributive reste de toute évidence assez limitée et ses ressources précaires. Les efforts fournis pour sa reconversion personnelle sont louables mais ils ne sauraient déboucher à court terme sur une amélioration significative de ses revenus. Il apparaît assez clairement que le montant du jour-amende, fixé en 2010 à CHF 50.-, ne correspond pas à ses capacités financières actuelles qui sont objectivement proches du minimum vital. Aussi ce montant sera-t-il réduit à CHF 10.-, ce qui entraîne une modification du jugement entrepris sur ce point.</w:t>
      </w:r>
    </w:p>
    <w:p>
      <w:r>
        <w:rPr>
          <w:b/>
        </w:rPr>
        <w:t>E. 4</w:t>
      </w:r>
    </w:p>
    <w:p>
      <w:r>
        <w:t>Vu l'issue de la procédure d'appel, les prétentions en indemnisation formulées par l'appelant sont infondées et doivent à ce titre être rejetées (art. 429 CPP).</w:t>
      </w:r>
    </w:p>
    <w:p>
      <w:r>
        <w:rPr>
          <w:b/>
        </w:rPr>
        <w:t>E. 5</w:t>
      </w:r>
    </w:p>
    <w:p>
      <w:r>
        <w:t>L'arrêt ACJP/113/2011 du 16 juin 2011 a statué sur les conclusions civiles de la partie plaignante, qu'elle a écartées, et sur le principe de la condamnation de l'appelant aux frais de son adverse partie, sa participation étant limitée au tiers du montant réclamé. Cette partie de l'arrêt de la Chambre pénale n'a pas été contestée, sinon par l'appelant dans l'hypothèse de son acquittement. Il n'y a ainsi pas lieu d'y revenir au terme de la présente procédure d'appel, dans un sens ou un autre. L'intimée sera donc également déboutée de ses conclusions prises lors des débats d'appel.</w:t>
      </w:r>
    </w:p>
    <w:p>
      <w:r>
        <w:rPr>
          <w:b/>
        </w:rPr>
        <w:t>E. 6.1</w:t>
      </w:r>
    </w:p>
    <w:p>
      <w:r>
        <w:t>Les frais imputables à l'assistance gratuite sont des débours (art. 422 al. 2 let. a CPP) qui constituent des frais de procédure (art. 422 al. 1 CPP) doivent, conformément à l'art. 421 al. 1 CPP, être fixés par l'autorité pénale dans la décision finale au plus tard (ATF 139 IV 199 consid. 5.1). Au regard de ce qui précède,la CPAR est compétente, au sens de l'art. 135 al. 2 CPP, pour statuer sur l'activité postérieure à sa saisine.</w:t>
      </w:r>
    </w:p>
    <w:p>
      <w:r>
        <w:rPr>
          <w:b/>
        </w:rPr>
        <w:t>E. 6.2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w:t>
      </w:r>
    </w:p>
    <w:p>
      <w:r>
        <w:rPr>
          <w:b/>
        </w:rPr>
        <w:t>E. 6.3</w:t>
      </w:r>
    </w:p>
    <w:p>
      <w:r>
        <w:t>En l'espèce, l'activité du conseil de l'appelant a été estimée à cinq heures, puisque sa revendication porte sur CHF 1'000.- pour son activité exercée sous assistance judiciaire. L'état de frais présenté ne répond à aucune critique et il sera ainsi admis à due concurrence. Il convient d'ajouter à ce montant l'indemnisation forfaitaire de 20 %, soit CHF 200.-, ainsi que la TVA à hauteur de CHF 96.-.</w:t>
      </w:r>
    </w:p>
    <w:p>
      <w:r>
        <w:rPr>
          <w:b/>
        </w:rPr>
        <w:t>E. 7</w:t>
      </w:r>
    </w:p>
    <w:p>
      <w:r>
        <w:t>. L’appelant, qui n’obtient que partiellement gain de cause, supportera la moitié des frais de la procédure envers l’Etat (art. 428 CPP) comprenamt un émolument de CHF 2'000.-. Le solde sera laissé à la charge de l’Etat. Dans un souci de clarté, le jugement entrepris sera entièrement annulé et le dispositif reformulé.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