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P/17530/2019 vom 14. Juli 2020</w:t>
      </w:r>
    </w:p>
    <w:p>
      <w:r>
        <w:t>GE Cour de justice, 2020-07-14, FR</w:t>
      </w:r>
    </w:p>
    <w:p>
      <w:r>
        <w:rPr>
          <w:b/>
        </w:rPr>
        <w:t xml:space="preserve">Quelle: </w:t>
      </w:r>
      <w:r>
        <w:t>https://mcp.opencaselaw.ch/entscheid/ge_gerichte_P_17530_2019</w:t>
      </w:r>
    </w:p>
    <w:p>
      <w:r>
        <w:t>FR: GE_GERICHTE P/17530/2019 du 14 juillet 2020</w:t>
      </w:r>
    </w:p>
    <w:p>
      <w:r>
        <w:t>IT: GE_GERICHTE P/17530/2019 del 14 luglio 2020</w:t>
      </w:r>
    </w:p>
    <w:p>
      <w:pPr>
        <w:pStyle w:val="Heading2"/>
      </w:pPr>
      <w:r>
        <w:t>Regeste</w:t>
      </w:r>
    </w:p>
    <w:p>
      <w:r>
        <w:t>TENTATIVE(DROIT PÉNAL) | CP.181 CP.al22; CP.285</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En l'espèce, l'appelant a fait l'objet d'une expertise psychiatrique dont le contenu et les conclusions ont été confirmés en audience contradictoire devant le MP. Quoique soutienne la défense, cette expertise, établie par un expert reconnu et expérimenté, s'est fondée sur des éléments sérieux et suffisants. S'il eût été souhaitable qu'elle ait pu également se fonder sur des documents médicaux plus anciens que ceux du dossier des HUG, on ne peut en faire grief à l'expert, l'absence de collaboration de l'expertisé au processus ne permettant pas de déterminer où rechercher ces documents. L'expert n'a pas ignoré ni caché que l'anamnèse de l'expertisé avait été difficile à faire, expliquant cependant de façon transparente qu'il s'était basé, au-delà des déclarations parfois contradictoires de l'intéressé, sur son dossier médical auprès des HUG. L'appelant ne soutient d'ailleurs plus en appel, comme il l'avait fait précédemment, que l'expert se serait basé sur le dossier médical d'un homonyme, étant encore relevé que l'appelant n'a jamais demandé avant l'audience d'appel que le dossier médical ne soit versé à la procédure, l'expert étant par ailleurs compétent pour en étudier le contenu. La défense, qui relevait dès sa reddition de prétendues erreurs dans le rapport d'expertise, n'a d'ailleurs à aucun moment demandé qu'une contre-expertise soit ordonnée. Enfin, l'expert n'a pas omis d'éléments de faits dans son appréciation de la situation, en particulier s'agissant du message téléphonique, puisqu'il relève bien l'ambivalence de l'intéressé vis-à-vis de la partie plaignante. L'expertise ne contient en outre pas de contradiction interne ou avec des éléments figurant au dossier. On ne voit pas bien où résiderait la contradiction dans le fait de retenir que la mesure devrait durer au minimum cinq ans, étant rappelé que la mesure est prolongeable au-delà de cette limite dans les cas visés par l'art. 59 al. 4 CP. L'expert relève le caractère chronique des pathologies de l'expertisé et estime que cinq années de traitement permettent des perspectives moyennes de diminution du risque de récidive, il ouvre dans le même temps la possibilité d'un aménagement de régime pendant cette durée. Il estrappelé que la mesure doit être en proportion avec les possibles futures infractions et non avec celles déjà commises. A ce propos, l'expert conclut, en l'expliquant, à un risque élevé d'infractions contre la vie et l'intégrité corporelle d'autrui sous forme d'atteinte psychique mais également physique, et à un risque moyen d'infractions contre les biens. Il explique aussi de manière convaincante qu'une mesure ambulatoire présenterait un risque de faible collaboration de l'intéressé. Pour l'affirmer, l'expert s'est basé notamment sur la rupture de son traitement au moment des actes, ou sur le fait que l'intéressé avait déjà quitté les HUG contre l'avis des médecins. La difficulté de ce dernier à respecter le cadre fixé ressort aussi des multiples sanctions disciplinaires dont il a fait l'objet pendant sa détention, la dernière l'ayant mené en janvier 2020 encore au cachot puis à I______ pour deux semaines. Le faible risque de collaboration à une mesure ambulatoire découle encore de l'anosognosie de l'appelant qui persiste en appel à considérer avoir " autre chose à faire ". En conséquence, les conclusions de l'expertise ne sont pas critiquables non plus sous l'angle de la proportionnalité. On ne voit pas en quoi une mesure de protection de l'adulte pourrait suffire en soi à réduire significativement le risque de récidive. Le fait que la mesure préconisée serait vouée à l'échec ne ressort pas de l'expertise. L'expert retient au contraire, après avoir relevé que l'expertisé n'était pas prêt à se soumettre au traitement, lequel aurait quand même des chances d'être mis en oeuvre contre sa volonté, que les perspectives de diminution du risque à cinq ans sont moyennes. En fin de compte, conformément à la jurisprudence rappelée plus haut, la CPAR n'a pas de raison de s'écarter des conclusions de l'expertise, laquelle, au-delà d'éventuelles erreurs notamment biographiques imputables essentiellement à l'appelant lui-même, ne contient pas de contradiction interne ni de contradiction avec les autres éléments figurant au dossier. Il y a dès lors lieu de confirmer le jugement entrepris en tant qu'il prononce une mesure thérapeutique institutionnelle et en tant qu'il précise, dans ses considérants, que cette mesure doit être exécutée en milieu fermé. La Cour relèvera encore que selon l'expert lui-même, le but de cette mesure est de stabiliser l'expertisé dans un premier temps, afin qu'il puisse ensuite poursuivre l'exécution de sa mesure dans son pays d'origine, un milieu ouvert n'étant pas exclu dans le futur.</w:t>
      </w:r>
    </w:p>
    <w:p>
      <w:r>
        <w:rPr>
          <w:b/>
        </w:rPr>
        <w:t>E. 3</w:t>
      </w:r>
    </w:p>
    <w:p>
      <w:r>
        <w:t>Le risque de fuite ayant conduit les premiers juges à prononcer, par ordonnance séparée du 24 avril 2020, le maintien de l'appelant en détention pour des motifs de sûreté sont toujours d'actualité, de sorte que la mesure sera reconduite mutatis mutandis (ATF 139 IV 277 consid. 2.2 à 2.3). Il est à cet égard rappelé que selon l'art. 231 al. 1 CPP, le prévenu condamné peut être maintenu en détention pour des motifs de sûreté non seulement pour garantir l'exécution de la peine mais également celle de la mesure prononcée (let. a).</w:t>
      </w:r>
    </w:p>
    <w:p>
      <w:r>
        <w:rPr>
          <w:b/>
        </w:rPr>
        <w:t>E. 4</w:t>
      </w:r>
    </w:p>
    <w:p>
      <w:r>
        <w:t>Au vu de ce qui précède, les conclusions en indemnisations fondées sur l'art. 429 CPP seront écartées.</w:t>
      </w:r>
    </w:p>
    <w:p>
      <w:r>
        <w:rPr>
          <w:b/>
        </w:rPr>
        <w:t>E. 5</w:t>
      </w:r>
    </w:p>
    <w:p>
      <w:r>
        <w:t>L'appelant, qui succombe, supportera les frais de la procédure envers l'Etat (art. 428 CPP).</w:t>
      </w:r>
    </w:p>
    <w:p>
      <w:r>
        <w:rPr>
          <w:b/>
        </w:rPr>
        <w:t>E. 6</w:t>
      </w:r>
    </w:p>
    <w:p>
      <w:r>
        <w:t>6.1.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6.2</w:t>
      </w:r>
    </w:p>
    <w:p>
      <w:r>
        <w:t>En l'occurrence, l'état de frais produit par le conseil de l'appelant paraît adéquat et conforme aux dispositions et principes qui précèdent, de sorte qu'il sera admis sans en reprendre le détail. En conclusion, l'indemnité sera arrêtée à CHF 2'621.15 correspondant à 4h d'activité au tarif de CHF 200.-/heure et 8h45 au tarif de 150.-/heure, CHF 100.- pour une vacation à l'audience d'appel, plus la majoration forfaitaire de 10% et l'équivalent de la TVA au taux de 7.7% en CHF 187.40.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