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P/17522/2020 vom 6. März 2023</w:t>
      </w:r>
    </w:p>
    <w:p>
      <w:r>
        <w:t>GE Cour de justice, 2023-03-06, FR</w:t>
      </w:r>
    </w:p>
    <w:p>
      <w:r>
        <w:rPr>
          <w:b/>
        </w:rPr>
        <w:t xml:space="preserve">Quelle: </w:t>
      </w:r>
      <w:r>
        <w:t>https://mcp.opencaselaw.ch/entscheid/ge_gerichte_P_17522_2020</w:t>
      </w:r>
    </w:p>
    <w:p>
      <w:r>
        <w:t>FR: GE_GERICHTE P/17522/2020 du 6 mars 2023</w:t>
      </w:r>
    </w:p>
    <w:p>
      <w:r>
        <w:t>IT: GE_GERICHTE P/17522/2020 del 6 marzo 2023</w:t>
      </w:r>
    </w:p>
    <w:p>
      <w:pPr>
        <w:pStyle w:val="Heading2"/>
      </w:pPr>
      <w:r>
        <w:t>Regeste</w:t>
      </w:r>
    </w:p>
    <w:p>
      <w:r>
        <w:t>CLASSEMENT DE LA PROCÉDURE;TORT MORAL;INDEMNITÉ(EN GÉNÉRAL);LIEN DE CAUSALITÉ | CPP.429</w:t>
      </w:r>
    </w:p>
    <w:p>
      <w:pPr>
        <w:pStyle w:val="Heading2"/>
      </w:pPr>
      <w:r>
        <w:t>Erwägungen</w:t>
      </w:r>
    </w:p>
    <w:p>
      <w:r>
        <w:rPr>
          <w:b/>
        </w:rPr>
        <w:t>E. 1</w:t>
      </w:r>
    </w:p>
    <w:p>
      <w:r>
        <w:t>Le recours est recevable pour avoir été déposé selon la forme et dans le délai prescrits (art. 385 al. 1 et 396 al. 1 CPP), concerner des points d'une ordonnance de classement sujets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 ![endif]&gt;![if&gt;</w:t>
      </w:r>
    </w:p>
    <w:p>
      <w:r>
        <w:rPr>
          <w:b/>
        </w:rPr>
        <w:t>E. 2</w:t>
      </w:r>
    </w:p>
    <w:p>
      <w:r>
        <w:t>La recourante fait grief au Ministère public d'avoir refusé de lui octroyer une indemnité pour le dommage économique subi. ![endif]&gt;![if&gt;</w:t>
      </w:r>
    </w:p>
    <w:p>
      <w:r>
        <w:rPr>
          <w:b/>
        </w:rPr>
        <w:t>E. 2.1</w:t>
      </w:r>
    </w:p>
    <w:p>
      <w:r>
        <w:t>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 p. 239).![endif]&gt;![if&gt; Le lien de causalité s'apprécie selon les principes de la causalité naturelle et adéquate et selon le degré de la haute vraisemblance (arrêt du Tribunal fédéral 6B_928/2014 du 10 mars 2016 consid. 2, non publié in ATF 142 IV 163 et la référence citée). Un fait est la cause naturelle d'un résultat dommageable s'il en constitue l'une des conditions sine qua non ;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(arrêt du Tribunal fédéral 6B_1180/2019 du 17 février 2020 consid. 3.1). Le rapport de causalité adéquate est rompu lorsqu’en sus d’une cause en elle-même adéquate une autre cause survient, laquelle produit un tel effet que la première ne paraît plus, après examen, juridiquement pertinente. L’intensité des deux causes est déterminante (ATF 130 III 182 , c. 5.4 avec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une telle conséquence demeure dans le champ raisonnable des possibilités objectivement prévisibles (ATF 129 II 312 consid. 3.3 p. 318 et les arrêts cités). Le Tribunal fédéral a jugé que lorsque l'employeur prononce le licenciement de l'employé sans attendre l'issue de la procédure pénale, le lien de causalité adéquate est rompu, de telle sorte que le refus de l'indemnité était justifié (ATF 142 IV 237 consid. 1.4).</w:t>
      </w:r>
    </w:p>
    <w:p>
      <w:r>
        <w:rPr>
          <w:b/>
        </w:rPr>
        <w:t>E. 2.2</w:t>
      </w:r>
    </w:p>
    <w:p>
      <w:r>
        <w:t>En l'espèce, la recourante soutient que le dommage qu'elle a subi, survenu ensuite de la perte de son emploi, doit être indemnisé sur la base de l'art. 429 al. 1 let. b CPP, dès lors qu'il se trouverait en rapport de causalité avec la procédure pénale. ![endif]&gt;![if&gt; Ce raisonnement ne saurait être suivi, puisque son licenciement, survenu le 16 septembre 2020, n'est pas intervenu en raison de l'ouverture de l'instruction. En effet, la plainte de C______ a été déposée contre G______ le 20 septembre suivant, et donc postérieurement au renvoi de la recourante. Cette dernière a été licenciée avec effet immédiat à la suite des révélations faites par D______ à son père le 14 septembre 2020. Ce jour-là, la mineure lui aurait confié que G______ lui aurait montré ses fesses, ce qui aurait fait rire la recourante. Le 15 suivant, perturbé par ces révélations, C______ a contacté la pédopsychologue de ses enfants, qui l'aurait conforté dans sa décision de licencier la recourante, ce qu'il a fait le lendemain. Ce jour-là, cette dernière a tenté de justifier l'acte de son compagnon, en vain, son employeur s'étant refusé à toute discussion. Ce dernier l'a ensuite priée de quitter les lieux et de ne plus jamais le contacter, lui et sa famille. Or, à ce stade, il n'était pas encore question d'attouchements sexuels commis sur ses enfants, ni de violation du devoir d'assistance et d'éducation. Le dommage économique invoqué par la recourante ne découle ainsi pas de la procédure pénale, mais de la décision prise par son employeur dans un contexte de droit du travail. Par conséquent, il n'y a pas de lien de causalité entre le licenciement de la recourante et sa mise en prévention pour violation du devoir d'assistance et d'éducation (art. 219 CP), celle-ci n'étant d'ailleurs intervenue que le 1 er avril 2021, soit près de sept mois après son renvoi. Dans ces circonstances, cette dernière ne peut prétendre à l'indemnisation par les autorités pénales du dommage découlant de la perte de son emploi. Ses prétentions fondées sur l'art. 429 al. 1 let. b CPP seront dès lors rejetées.</w:t>
      </w:r>
    </w:p>
    <w:p>
      <w:r>
        <w:rPr>
          <w:b/>
        </w:rPr>
        <w:t>E. 3</w:t>
      </w:r>
    </w:p>
    <w:p>
      <w:r>
        <w:t>La recourante critique la quotité de l'indemnité pour tort moral qui lui a été accordée. ![endif]&gt;![if&gt;</w:t>
      </w:r>
    </w:p>
    <w:p>
      <w:r>
        <w:rPr>
          <w:b/>
        </w:rPr>
        <w:t>E. 3.1</w:t>
      </w:r>
    </w:p>
    <w:p>
      <w:r>
        <w:t>Selon l'art. 429 al. 1 let. c CPP, si le prévenu bénéficie d'une ordonnance de classement, il a droit à une réparation du tort moral subi en raison d'une atteinte particulièrement grave à sa personnalité, notamment en cas de privation de liberté.![endif]&gt;![if&gt; L'intensité de l'atteinte à la personnalité doit être analogue à celle requise dans le contexte de l'art. 49 CO (ATF 143 IV 339 consid. 3.1 ; arrêts du Tribunal fédéral 6B_740/2016 du 2 juin 2017 consid. 3.2 ; 6B_928/2014 du 10 mars 2016 consid. 5.1, non publié in ATF 142 IV 163 ).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163 ). La gravité objective de l'atteinte doit être ressentie par le prévenu comme une souffrance morale. Pour apprécier cette souffrance, le juge se fondera sur la réaction de l'homme moyen dans un cas pareil, présentant les mêmes circonstances (ATF 128 IV 53 consid. 7a p. 71). Il incombe au prévenu de faire état des circonstances qui font qu'il a ressenti l'atteinte comme étant subjectivement grave (ATF 120 II 97 consid. 2b p. 99). La fixation du tort moral procède d'une appréciation des circonstances et l'autorité compétente bénéficie d'un large pouvoir d'appréciation en la matière (arrêt du Tribunal fédéral 6B_928/2014 précité ; ATF 130 III 699 consid. 5.1 p. 705).</w:t>
      </w:r>
    </w:p>
    <w:p>
      <w:r>
        <w:rPr>
          <w:b/>
        </w:rPr>
        <w:t>E. 3.2</w:t>
      </w:r>
    </w:p>
    <w:p>
      <w:r>
        <w:t>La preuve de l'existence du dommage, son ampleur et sa relation de causalité adéquate avec la poursuite pénale introduite à tort incombent au requérant (ATF 135 IV 43 consid. 4.1 p. 47 ; 117 IV 209 consid. 4b p. 218 ; arrêt du Tribunal fédéral 6B_596/2007 du 11 mars 2008 consid. 2.2).![endif]&gt;![if&gt;</w:t>
      </w:r>
    </w:p>
    <w:p>
      <w:r>
        <w:rPr>
          <w:b/>
        </w:rPr>
        <w:t>E. 3.3</w:t>
      </w:r>
    </w:p>
    <w:p>
      <w:r>
        <w:t>S'agissant du montant de l'indemnité, toute comparaison avec d'autres affaires doit intervenir avec prudence, dès lors que le tort moral touche aux sentiments d'une personne déterminée dans une situation donnée et que chacun réagit différemment face au malheur qui le frappe (arrêt du Tribunal fédéral 6B_128/2017 du 9 novembre 2017 consid. 5.5). Une comparaison avec d'autres cas similaires peut cependant, suivant les circonstances, constituer un élément d'orientation utile (ATF 138 III 337 consid. 6.3.3 p. 345 ; arrêt du Tribunal fédéral 6B_118/2016 du 20 mars 2017 consid. 6.1). Ont ainsi été accordées des indemnités de :![endif]&gt;![if&gt; - CHF 4'000.- pour des femmes victimes d'une campagne d'affichage publique contre l'avortement comprenant leurs photographie, nom et appartenance politique sous l'image d'un fœtus ensanglanté suivie du commentaire suivant : " Chaque civilisation a l'ordure qu'elle mérite " (ATF 128 IV 53 ) ; - CHF 5'000.- pour un individu ayant subi un acharnement de l'auteur pendant près d'une année et qui avait souffert d'une angoisse permanente, des craintes pour sa sécurité et son intégrité corporelle ainsi qu'une atteinte à sa réputation professionnelle au sein du monde académique (arrêt du Tribunal fédéral 6B_395/2009 du 20 octobre 2009) ; - CHF 2'000.- pour un responsable d'un service étatique de protection de l'enfance accusé d'actes pédophiles qui a fait état de souffrance morale ( AARP/488/2014 du 10 novembre 2014) ; - CHF 2'000.- pour un père accusé d'actes d'ordre sexuel sur sa fille mineure, qui a été détenu durant quelques heures, avant de bénéficier de mesures de substitution à la détention provisoire, sous la forme notamment d'une interdiction de toute relation autre que téléphonique ou postale avec sa fille jusqu'à décision prise par les autorités compétentes. La procédure – soit la privation de relations personnelles avec l'enfant – a duré plus de deux ans (arrêt du Tribunal fédéral 6B_1104/2015 du 10 octobre 2016) ; - CHF 1'000.- à un éducateur de la petite enfance accusé d'avoir, dans le cadre de son activité, inséré un doigt dans le vagin d'une enfant de trois ans, pendant qu'elle dormait ; qui a notamment souffert d'anxiété et de dépression, attestées par certificat médical (arrêt de la Chambre des recours pénale du Tribunal cantonal vaudois PE21.021170 du 17 mai 2023).</w:t>
      </w:r>
    </w:p>
    <w:p>
      <w:r>
        <w:rPr>
          <w:b/>
        </w:rPr>
        <w:t>E. 3.4</w:t>
      </w:r>
    </w:p>
    <w:p>
      <w:r>
        <w:t>En l'espèce, le Ministère public a reconnu que la recourante avait subi une atteinte particulièrement grave à sa personnalité, lui ouvrant droit à une indemnité au sens de l'art. 429 al. 1 let. c CPP. La recourante conteste néanmoins la quotité de l'indemnité qui lui a été accordée, qu'elle estime insuffisante. ![endif]&gt;![if&gt; En l'occurrence, l'intéressée évolue dans un milieu particulièrement exposé, puisqu'elle exerce son activité professionnelle dans le domaine de la petite enfance. Dans ce contexte, il est manifeste que les accusations infamantes et stigmatisantes dont elle a fait l'objet ont pu entraîner des répercussions importantes sur sa réputation sociale et professionnelle. À cela s'ajoute qu'elle a fait l'objet de menaces '" d'un comité d'habitants " de sa commune et dont une copie de la lettre a été envoyée à la Mairie. Placé dans les mêmes conditions, un individu aurait souffert à l'instar de ce que fait valoir la recourante. Cela étant, cette dernière n'établit pas en quoi ses souffrances ont été à ce point exceptionnelles qu'il se justifiait de lui octroyer un montant plus élevé que celui alloué par le Ministère public. Elle ne produit, notamment, pas de certificat médical attestant de répercussions sur sa santé physique et/ou mentale. Elle ne démontre pas que ses relations personnelles, en particulier avec sa famille, auraient autrement pâti de la procédure, ni que les menaces dont elle a fait l'objet auraient sérieusement influencé son quotidien ou été mises à exécution. Concernant son avenir professionnel, elle n'a produit aucune pièce permettant d'établir des refus d'engagement, ni même qu'elle chercherait activement un emploi dans le domaine de la petite enfance. De plus, elle n'a été prévenue que de violation du devoir d'assistance et d'éducation (art. 219 CP), et non d'actes d'ordre sexuel sur des enfants ni de complicité à de tels actes, ce qui relativise la gravité des faits qui lui sont reprochés. Qu'une rumeur fasse état d'actes plus sérieux n'y change rien. Il lui appartiendra de s'en défendre dans le cadre de la procédure pour menaces et atteinte à l'honneur qu'elle a initiée en France. Dans ces circonstances, à défaut d’information supplémentaire, l'indemnité de CHF 2'000.- allouée par le Ministère public est appropriée. Bien qu'il ne s'agisse que d'indications, une comparaison avec les montants alloués au titre du tort moral dans d'autres affaires d'actes d'ordre sexuel avec des enfants confirme l'adéquation du montant octroyé à la recourante, ainsi qu'en attestent les exemples précités.</w:t>
      </w:r>
    </w:p>
    <w:p>
      <w:r>
        <w:rPr>
          <w:b/>
        </w:rPr>
        <w:t>E. 4</w:t>
      </w:r>
    </w:p>
    <w:p>
      <w:r>
        <w:t>Justifiée, l'ordonnance querellée sera donc confirmée.![endif]&gt;![if&gt;</w:t>
      </w:r>
    </w:p>
    <w:p>
      <w:r>
        <w:rPr>
          <w:b/>
        </w:rPr>
        <w:t>E. 5</w:t>
      </w:r>
    </w:p>
    <w:p>
      <w:r>
        <w:t>La recourante, qui succombe, supportera les frais envers l'État, qui seront fixés en totalité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