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P/17497/2013 vom 11. Dezember 2014</w:t>
      </w:r>
    </w:p>
    <w:p>
      <w:r>
        <w:t>GE Cour de justice, 2014-12-11, FR</w:t>
      </w:r>
    </w:p>
    <w:p>
      <w:r>
        <w:rPr>
          <w:b/>
        </w:rPr>
        <w:t xml:space="preserve">Quelle: </w:t>
      </w:r>
      <w:r>
        <w:t>https://mcp.opencaselaw.ch/entscheid/ge_gerichte_P_17497_2013</w:t>
      </w:r>
    </w:p>
    <w:p>
      <w:r>
        <w:t>FR: GE_GERICHTE P/17497/2013 du 11 décembre 2014</w:t>
      </w:r>
    </w:p>
    <w:p>
      <w:r>
        <w:t>IT: GE_GERICHTE P/17497/2013 del 11 dicembre 2014</w:t>
      </w:r>
    </w:p>
    <w:p>
      <w:pPr>
        <w:pStyle w:val="Heading2"/>
      </w:pPr>
      <w:r>
        <w:t>Regeste</w:t>
      </w:r>
    </w:p>
    <w:p>
      <w:r>
        <w:t>LOI FÉDÉRALE SUR LES ÉTRANGERS; AUTORISATION DE SÉJOUR; FIXATION DE LA PEINE; INDEMNITÉ(EN GÉNÉRAL); ASSISTANCE JUDICIAIRE | LEtr.115.1.B; CP.47.1; CPP.135.2; CPP.421.1; RAJ.16.1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faits ne sont plus contestés en appel. Les jugements du Tribunal de police seront en conséquence confirmés pour ce qui concerne la culpabilité de l'appelant pour vol et infractions à la LEtr, dont les éléments constitutifs sont réalisés. Le conseil de l'appelant s'en rapporte à justice au sujet du maintien en détention de son mandant.![endif]&gt;![if&gt;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La faute de l'appelant est moyenne, dans le sens où l'importance relative des infractions est quelque peu compensée par la répétition d'actes constitutifs d'atteinte au patrimoine, qui plus est à quelques jours d'intervalle. Ces infractions révèlent une précarité financière qui conduit l'appelant à user de moyens illégaux pour survivre. L'appelant a d'ailleurs reconnu lui-même avoir fait fausse route en croyant pouvoir assumer ses obligations financières dans un pays où il ne dispose pas du droit à exercer légalement une activité lucrative. Il y a concours d'infractions, ce qui conduit à une aggravation de la peine. La volonté de l'appelant de retourner en France doit impérativement être suivie d'effets, faute de quoi il ne pourra pas quitter sa condition de survie entrecoupée de séjours en prison. L'ébauche de prise de conscience entrevue en appel peut l'y aider. La collaboration de l'appelant a été mauvaise pour le second vol, avant qu'il ne daigne accepter sa culpabilité sur la base du témoignage accablant de la victime et des policiers qui avaient observé le manège auquel se sont livrés l'appelant et son comparse. L'appelant a en revanche admis d'emblée sa culpabilité pour les autres infractions reprochées, dont le premier vol. Ses nombreux antécédents font que le sursis n'est pas envisageable, ce que l'appelant ne conteste pas. En définitive, les peines cumulées des deux jugements entrepris sont excessives au regard des fautes commises. Il convient par conséquent de les réduire à une juste proportion, ce qui permettra à l'appelant de préparer son retour auprès des membres de sa famille tout en purgeant une peine qui soit suffisamment dissuasive pour son avenir.</w:t>
      </w:r>
    </w:p>
    <w:p>
      <w:r>
        <w:rPr>
          <w:b/>
        </w:rPr>
        <w:t>E. 4</w:t>
      </w:r>
    </w:p>
    <w:p>
      <w:r>
        <w:t>4.1 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précède,la CPAR est compétente, au sens de l'art. 135 al. 2 CPP, pour statuer sur l'activité postérieure à sa saisine dans la P/13870/14, le 24 novembre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4.3</w:t>
      </w:r>
    </w:p>
    <w:p>
      <w:r>
        <w:t>En l'espèce, seule l'étude du dossier en vue de la déclaration d'appel (24 novembre 2014) ne sera pas considérée comme nécessaire, s'agissant d'une prestation incluse dans le forfait courriers et téléphones et la déclaration d'appel n'ayant pas besoin d'être motivée selon les exigences de l'art. 399 al. 3 CPP. Par conséquent, l'état de frais, après la réduction qui précède, sera admis à concurrence de 6 ½ heures d'activité de cheffe d'étude, ce qui correspond à une indemnité de base de CHF 1'300.-. Il convient d'ajouter à ce montant l'indemnisation forfaitaire de 20 %, soit CHF 260.-, ainsi que la TVA à hauteur de CHF 124.80.</w:t>
      </w:r>
    </w:p>
    <w:p>
      <w:r>
        <w:rPr>
          <w:b/>
        </w:rPr>
        <w:t>E. 5</w:t>
      </w:r>
    </w:p>
    <w:p>
      <w:r>
        <w:t>Les motifs ayant conduit le premier juge à prononcer, par ordonnance séparée du 30 octobre 2014, le maintien de l'appelant en détention pour des motifs de sûreté sont toujours d'actualité, ce que celui-ci ne conteste au demeurant pas, de sorte que la mesure sera reconduite mutatis mutandis (ATF 139 IV 277 consid. 2.2 à 2.3).![endif]&gt;![if&gt;</w:t>
      </w:r>
    </w:p>
    <w:p>
      <w:r>
        <w:rPr>
          <w:b/>
        </w:rPr>
        <w:t>E. 6</w:t>
      </w:r>
    </w:p>
    <w:p>
      <w:r>
        <w:t>L'appelant obtient gain de cause sur le principe d'une réduction de peine, ce qui conduit la juridiction d'appel à limiter au tiers les frais d'appel à sa charge, ceux-ci comprenant un émolument de CHF 2'000.- (art. 428 al. 1 CPP et art. 14 al. 1 let. e du règlement fixant le tarif des frais en matière pénale, E 4 10.03), le solde étant laissé à la charge de l'Etat.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