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P/17492/2024 vom 4. Oktober 2024</w:t>
      </w:r>
    </w:p>
    <w:p>
      <w:r>
        <w:t>GE Cour de justice, 2024-10-04, FR</w:t>
      </w:r>
    </w:p>
    <w:p>
      <w:r>
        <w:rPr>
          <w:b/>
        </w:rPr>
        <w:t xml:space="preserve">Quelle: </w:t>
      </w:r>
      <w:r>
        <w:t>https://mcp.opencaselaw.ch/entscheid/ge_gerichte_P_17492_2024</w:t>
      </w:r>
    </w:p>
    <w:p>
      <w:r>
        <w:t>FR: GE_GERICHTE P/17492/2024 du 4 octobre 2024</w:t>
      </w:r>
    </w:p>
    <w:p>
      <w:r>
        <w:t>IT: GE_GERICHTE P/17492/2024 del 4 ottobre 2024</w:t>
      </w:r>
    </w:p>
    <w:p>
      <w:pPr>
        <w:pStyle w:val="Heading2"/>
      </w:pPr>
      <w:r>
        <w:t>Regeste</w:t>
      </w:r>
    </w:p>
    <w:p>
      <w:r>
        <w:t>ORDONNANCE PÉNALE;SIGNATURE;E-MAIL;CONTRAVENTION;FICTION DE LA NOTIFICATION;NOTIFICATION IRRÉGULIÈRE;DOMICILE À L'ÉTRANGER | CPP.110; CPP.354; CPP.85; CPP.87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2.1</w:t>
      </w:r>
    </w:p>
    <w:p>
      <w:r>
        <w:t>Le prévenu peut former opposition contre l'ordonnance pénale devant le SdC, par écrit, dans les dix jours; si aucune contestation n'est valablement intervenue, cette ordonnance est assimilée à un jugement entré en force (art. 354 al. 1 let. a et al. 3 ainsi que 357 CPP). 2.2.1. Celle-ci doit, pour être valable, comporter la signature de son auteur, soit manuscrite originale (art. 110 al. 1 CPP; arrêt du Tribunal fédéral 6B_401/2016 du 28 novembre 2016 consid. 2.1), soit électronique qualifiée (pour l'obtention de laquelle il est nécessaire de s'enregistrer sur une plateforme de distribution reconnue; art. 110 al. 1 et al. 2 CPP; arrêt du Tribunal fédéral 6B_18/2023 du 3 mars 2023 consid. 3.3.3). L'envoi d'un simple courriel, sans signature électronique autorisée, ne satisfait pas à ces réquisits (arrêt du Tribunal fédéral 6B_528/2019 du 17 juillet 2019 consid. 3.2). 2.2.2. L’application stricte des règles de forme ne viole pas l’interdiction du formalisme excessif (ATF 142 IV 299 consid. 1.3.3). Lorsque l’ordonnance pénale expose clairement la forme que doit revêtir l'opposition, le SdC n’est pas tenu d’inviter le justiciable qui conteste celle-là par email à mettre en conformité sa déclaration ( ACPR/870/2023 du 7 novembre 2023, consid. 3.3.1 et ACPR/640/2023 du 16 août 2023, consid. 3.2).</w:t>
      </w:r>
    </w:p>
    <w:p>
      <w:r>
        <w:rPr>
          <w:b/>
        </w:rPr>
        <w:t>E. 2.3</w:t>
      </w:r>
    </w:p>
    <w:p>
      <w:r>
        <w:t>Selon l'art. 85 CPP, les autorités pénales notifient leurs prononcés par lettre signature ou par tout autre mode de communication impliquant un accusé de réception, notamment par l'entremise de la police (al. 1). Le prononcé est réputé notifié lorsque, expédié par lettre signature, il n'a pas été retiré dans les sept jours à compter de la tentative infructueuse de remise du pli, si la personne concernée devait s'attendre à une telle remise (al. 4 lit. a). 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L'obligation pour la personne de prendre des dispositions pour être atteinte naît lorsqu'elle est clairement informée par la police qu'elle fait l'objet d'une poursuite pénale ( ibidem ).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du Tribunal fédéral 6B_448/2024 du 19 septembre 2024 consid. 3.2.2 et la jurisprudence citée).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 3.1; 139 IV 228 consid. 1.1 et les références citées; arrêt 6B_448/2024 précité consid. 3.2.2). En vertu de l'art. 87 CPP, toute communication doit être notifiée au domicile du destinataire (al. 1). Les parties qui ont leur résidence à l'étranger sont tenues de désigner une adresse de notification en Suisse; les instruments internationaux prévoyant la possibilité d'une notification directe sont réservés (al. 2). Conformément aux art. 16 al. 1 du II e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 (RS 0.351.934.92), les autorités judiciaires compétentes de toute Partie peuvent envoyer directement, par voie postale, des actes de procédure et des décisions judiciaires, aux personnes qui se trouvent sur le territoire de toute autre Partie. L'art. 87 al. 1 CPP n'empêche pas les parties de communiquer à l'autorité pénale une autre adresse de notification que celle prescrite par la norme.</w:t>
      </w:r>
    </w:p>
    <w:p>
      <w:r>
        <w:rPr>
          <w:b/>
        </w:rPr>
        <w:t>E. 2.4</w:t>
      </w:r>
    </w:p>
    <w:p>
      <w:r>
        <w:t>En l'espèce, tous les courriers et décisions destinés à la recourante dans le cadre de la présente procédure ont été expédiés à l'adresse " no. ______ route 3______, [code postal] C______, France ", cela quand bien même il ressort des éléments figurant au dossier que la recourante n'y habitait plus. Il convient donc d'examiner si la recourante s'est valablement vu notifier les deux ordonnances pénales litigieuses, étant à cet égard relevé que ce n'est qu'en présence d'une notification valable desdites décisions qu'une éventuelle irrecevabilité de ses oppositions pourrait lui être opposée. Selon le suivi des recommandés de la Poste française, les deux ordonnances pénales ne lui ont jamais été remises. Se pose dès lors la question de savoir si la recourante peut se voir opposer la fiction de notification prévue à l'art. 85 al. 4 let. a CPP, ce qui suppose nécessairement qu'elle ait pu s'attendre à la remise de tels prononcés. Il sera à cet égard relevé qu'au moment où les deux ordonnances pénales lui ont été expédiées, le 2 mai 2024, la recourante n'avait aucun moyen de savoir qu'elle faisait l'objet d'une procédure pénale. En effet, cette dernière n'avait jamais été entendue par la police en lien avec les deux excès de vitesse du 4 décembre 2023. Elle n'avait par ailleurs pas pu prendre connaissance des deux amendes d'ordre du 30 janvier 2024, dès lors que celles-ci lui avaient été expédiées à une adresse autre que celle à laquelle elle résidait et n'avaient été portées à sa connaissance qu'au mois de mai 2024. Il s'ensuit que la fiction de notification prévue à l'art. 85 al. 4 let. a CPP ne saurait trouver ici application. Les deux ordonnances pénales du 2 mai 2024 ne peuvent ainsi être réputées avoir été valablement notifiées à la recourante. Faute de notifications valables, le SdC, et le Tribunal de police à sa suite, ne pouvaient interpréter le courriel du 13 mai 2024 comme une opposition de la recourante aux ordonnances pénales et encore moins lui opposer le fait qu'elle n'aurait pas respecté les exigences de forme. On comprend d'ailleurs, à la lecture dudit courriel, que la recourante n'avait visiblement pas conscience du fait que des ordonnances pénales avaient été prononcées à son encontre, preuve en est le fait qu'elle n'y parle que d'" amendes ", et non d'ordonnances pénales.</w:t>
      </w:r>
    </w:p>
    <w:p>
      <w:r>
        <w:rPr>
          <w:b/>
        </w:rPr>
        <w:t>E. 3</w:t>
      </w:r>
    </w:p>
    <w:p>
      <w:r>
        <w:t>Le recours sera dès lors admis et, partant, l'ordonnance querellée annulée. La cause devrait en principe être renvoyée au Tribunal de police. Toutefois, compte tenu du vice entachant la notification des ordonnances pénales et des griefs invoqués par la recourante, il apparait plus expédient que la procédure soit retournée au Service des contraventions, à charge pour cette autorité de notifier de nouvelles décisions à la recourante, cas échéant après avoir examiné les griefs de fond invoqués par cette dernière ( ACPR/90/2021 du 10 février 2021 consid. 2.3 et ACPR/428/2020 du 23 juin 2020 consid. 3).</w:t>
      </w:r>
    </w:p>
    <w:p>
      <w:r>
        <w:rPr>
          <w:b/>
        </w:rPr>
        <w:t>E. 4</w:t>
      </w:r>
    </w:p>
    <w:p>
      <w:r>
        <w:t>L'admission du recours ne donne pas lieu à la perception de frais (art. 428 al. 1 CPP).</w:t>
      </w:r>
    </w:p>
    <w:p>
      <w:r>
        <w:rPr>
          <w:b/>
        </w:rPr>
        <w:t>E. 5</w:t>
      </w:r>
    </w:p>
    <w:p>
      <w:r>
        <w:t>La recourante, qui obtient gain de cause, mais agit en personne, ne justifie pas de frais de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