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P/17448/2017 vom 2. Oktober 2018</w:t>
      </w:r>
    </w:p>
    <w:p>
      <w:r>
        <w:t>GE Cour de justice, 2018-10-02, FR</w:t>
      </w:r>
    </w:p>
    <w:p>
      <w:r>
        <w:rPr>
          <w:b/>
        </w:rPr>
        <w:t xml:space="preserve">Quelle: </w:t>
      </w:r>
      <w:r>
        <w:t>https://mcp.opencaselaw.ch/entscheid/ge_gerichte_P_17448_2017</w:t>
      </w:r>
    </w:p>
    <w:p>
      <w:r>
        <w:t>FR: GE_GERICHTE P/17448/2017 du 2 octobre 2018</w:t>
      </w:r>
    </w:p>
    <w:p>
      <w:r>
        <w:t>IT: GE_GERICHTE P/17448/2017 del 2 ottobre 2018</w:t>
      </w:r>
    </w:p>
    <w:p>
      <w:pPr>
        <w:pStyle w:val="Heading2"/>
      </w:pPr>
      <w:r>
        <w:t>Regeste</w:t>
      </w:r>
    </w:p>
    <w:p>
      <w:r>
        <w:t>FIXATION DE LA PEINE | LCR.95; LEtr.117;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w:t>
      </w:r>
    </w:p>
    <w:p>
      <w:r>
        <w:rPr>
          <w:b/>
        </w:rPr>
        <w:t>E. 3</w:t>
      </w:r>
    </w:p>
    <w:p>
      <w:r>
        <w:t>3.1.1.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3.1.2. Un étranger peut être admis en vue de l'exercice d'une activité lucrative salariée notamment si son admission sert les intérêts économiques du pays et si son employeur a déposé une demande (art. 18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3.1.3. A teneur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D'après la jurisprudence, le terme "employer" doit être compris de manière large, comme consistant à proposer une rémunération à une personne contre ses services, indépendamment de l'existence formelle d'un contrat de travail au sens des art. 319 ss de la loi fédérale du 30 mars 1911, complétant le Code civil suisse (CO, Code des obligations ; RS 220), et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p. 156 ; 128 IV 170 consid. 4 p. 174 ss ; arrêt du Tribunal fédéral 6B_176/2007 consid. 3.2). Selon l'art. 91 al. 1 LEtr, 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(arrêts du Tribunal fédéral 2C_783/2012 du 10 octobre 2012 consid. 2.1 et 2C_357/2009 du 16 novembre 2009 consid. 5.3). 3.1.4. Agit intentionnellement quiconque commet un crime ou un délit avec conscience et volonté (art. 12 al. 2 CP).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3.1.5. Au sens de l'art. 718 al. 1 et 4 de la loi fédérale du 30 mars 1911, complétant le Code civil suisse (CO, Code des obligations - RS 220), le conseil d'administration de la société anonyme représente la société à l'égard des tiers. Sauf disposition contraire des statuts ou du règlement d'organisation, chaque membre du conseil d'administration a le pouvoir de représenter la société. La société doit pouvoir être représentée par une personne domiciliée en Suisse. Cette personne doit être un membre du conseil d'administration ou un directeur. 3.1.6. Sont tenus personnellement responsables à raison de manquements, d'après le droit de la responsabilité dans la société anonyme, les membres du conseil d'administration et toutes les personnes qui s'occupent de la gestion ou de la liquidation (art. 754 al. 1 CO). 3.1.7. Les personnes chargées de l'administration ou de la gestion au sens de la disposition précitée ne sont pas seulement les organes habilités à prendre des décisions et expressément nommés en cette qualité, mais également les personnes qui prennent en fait des décisions réservées aux organes ou pourvoient effectivement à la gestion et contribuent ainsi de manière déterminante à la formation de la volonté sociale (ATF 128 III 29 consid. 3a ; 124 III 418 consid. 1b 1 ; 122 III 225 consid. 4b; 117 II 432 consid. 2b 2; 107 II 349 consid. 5a et références citées). Les personnes qui, de par leur position, peuvent prendre part à des fonctions dirigeantes et agissent de manière effective dans certains domaines répondent aussi d'omissions contraires à leurs devoirs lorsqu'une action eût été nécessaire dans le cadre du champ d'activités qui leur est attribué (arrêt du Tribunal fédéral 4C.214/2001 du 29 octobre 2001 consid. 3, in SJ 2002 I p. 347).</w:t>
      </w:r>
    </w:p>
    <w:p>
      <w:r>
        <w:rPr>
          <w:b/>
        </w:rPr>
        <w:t>E. 3.2</w:t>
      </w:r>
    </w:p>
    <w:p>
      <w:r>
        <w:t>En l'espèce, l'épouse de l'appelant est administratrice avec signature individuelle des sociétés B______ SA et E______ SA, la ou lesquelles exploitaient trois restaurants du nom de la seconde à Genève. L'appelant a cependant expliqué qu'il était le directeur de ces restaurants et que son épouse ne se chargeait que de l'aspect culinaire. Son rôle était celui d'un organe de fait ou " directeur de fait " d'après ses propres termes, en charge de la gestion administrative et, en particulier, de l'engagement de personnel. A teneur des déclarations de ses employés, l'appelant était "le patron" , soit celui qui notamment prélevait les cotisations sociales de leurs salaires. Pour toutes ces raisons, il doit être tenu pour établi que l'appelant tenait en main la conduite administrative de ces deux sociétés, exerçant un véritable pouvoir décisionnel. La responsabilité de l'appelant, en tant qu'organe de fait, est donc entière. Il a reconnu avoir engagé l'employé C______, ressortissant chinois, ayant œuvré en qualité de cuisinier du 2 novembre 2010 au 8 août 2017 et qui a été interpellé à son poste suite au passage de la PCTN à cette dernière date, étant rappelé que la période pénale le concernant débute au 10 avril 2011 comme retenu par le premier juge. L'appelant le savait sans permis de séjour ni autorisation de travail et n'a entrepris aucune démarche pour légaliser son statut administratif, ce qu'il reconnaît. La prétendue pénurie de cuisiniers chinois sur le marché ne l'en exemptait pas. C'est à tort qu'il cherche à contester sa culpabilité pour l'employée D______, d'origine équatorienne. Que celle-ci ait prétendu être espagnole ne le déchargeait à nouveau pas de son obligation de contrôler son statut avant la prise d'un poste, étant au demeurant relevé que même si elle était au bénéfice d'une carte de résidente espagnole des démarches devaient être entreprises auprès de l'OCPM en vue de l'obtention d'une autorisation de travail. L'appelant reconnaît s'en être abstenu et ne saurait reporter la responsabilité de ses agissements sur cette employée, eût-elle tardé à lui fournir les documents qu'il lui aurait demandé. Aguerri de longue date à ces " tracasseries administratives " comme il les nomme, il savait pertinemment dans quel ordre cela devait se passer. Pour l'employé F______, de nationalité brésilienne, l'appelant prétend qu'il était malade et que sa directrice adjointe devait se charger des démarches nécessaires. Il échoue dans sa tentative à faire endosser la responsabilité de ses propres carences et agissements sur cette personne, étant relevé que cet employé a travaillé pas moins de 11 mois au service de l'enseigne E______ et que l'appelant a nullement étayé, par exemple par certificat médical, le fait qu'il aurait empêché de déployer toute activité administrative, qui plus est sur cette longue période. Ainsi, la CPAR considère qu'il est établi que l'appelant avait pleinement connaissance et conscience du statut illégal de ces trois employés. Il a agi alors qu'il avait préalablement été condamné à trois reprises pour faits spécifiques au moment de la prise d'emploi de l'employé F______ et à cinq reprises pour les deux autres travailleurs, si ce n'est au moment de les engager (cas C______), à tout le moins en cours de contrat. C'est à tort qu'il cherche en dernier recours à s'appuyer sur le plan "Papyrus". Il ne démontre en effet nullement que les employés concernés par la présente procédure auraient entrepris les démarches nécessaires en vue de régularisation de leur statut dans ce cadre, et encore moins qu'elles l'auraient fait pendant la période pénale. Force est donc de retenir qu'il s'est rendu coupable d'infraction à l'art. 117 al. 1 et al. 2 LEtr. Le jugement de première instance sera dès lors confirmé et l'appel rejeté.</w:t>
      </w:r>
    </w:p>
    <w:p>
      <w:r>
        <w:rPr>
          <w:b/>
        </w:rPr>
        <w:t>E. 3.3</w:t>
      </w:r>
    </w:p>
    <w:p>
      <w:r>
        <w:t>A teneur de l'art. 95 al. 1 let. a LCR, est puni d'une peine privative de liberté de trois ans au plus ou d'une peine pécuniaire quiconque conduit un véhicule automobile sans être titulaire du permis de conduire requis. Fondé sur l'art. 10 al. 2 LCR qui réglemente le régime obligatoire du permis de conduire, l'art. 95 al. 1 lit. a LCR incrimine le conducteur d'un véhicule automobile qui conduit sans être au bénéfice de l'autorisation nécessaire délivrée par l'autorité compétente (ATF 98 IV 55 consid. 2 p. 58ss, JdT 1972 I 484 n. 90 ; A. BUSSY / B. RUSCONI / Y. JEANNERET / A. KUHN / C. MIZEL / C. MULLER, Code suisse de la circulation routière commenté , Bâle, 2015, 4ème édition, n. 1.1 ad art. 95, p. 946). Les raisons pour lesquelles l'auteur n'est pas titulaire d'un permis n'importent pas. La loi sanctionne de manière identique, au titre d'un délit (art. 10 al. 3 CP), passible d'une peine privative de liberté de 3 ans au plus ou d'une peine pécuniaire, la conduite sans permis (A. BUSSY / B. RUSCONI / Y. JEANNERET / A. KUHN / C. MIZEL / C. MULLER, op.cit., n. 1.2 ad art. 95, p. 946).</w:t>
      </w:r>
    </w:p>
    <w:p>
      <w:r>
        <w:rPr>
          <w:b/>
        </w:rPr>
        <w:t>E. 3.4</w:t>
      </w:r>
    </w:p>
    <w:p>
      <w:r>
        <w:t>L'appelant conteste une conduite les 12 juin et 19 juillet 2016 d'un véhicule automobile sans permis, dans la mesure où il fait l'objet d'une interdiction de conduire depuis juillet 2012. A ces deux dates, une personne au volant fait une photo depuis le siège conducteur du véhicule, et la poste sur le compte L______ de l'appelant accompagnée de commentaires liés à la perturbation du trafic en raison d'un accident. Les dénégations de l'appelant ne convainquent pas. Il n'a à aucun moment donné l'identité d'un tiers qui se serait trouvé au volant. S'il avait réellement été passager du véhicule, la photo aurait été prise depuis le siège destiné audit passager. Rien ne justifiait ainsi que le conducteur, en présence d'une autre personne dans l'habitacle, prenne cette photo et la poste sur le compte de l'appelant. Enfin, la teneur des commentaires moqueurs accompagnant ces photos sont du même acabit que ceux que l'appelant a servis aux autorités dans le cadre de la présente procédure. Ces éléments fondent un faisceau d'indices devant conduire à la confirmation du verdict de culpabilité du chef d'infractions à l'art. 95 al. 1 let. a LCR, étant au demeurant relevé qu'un tel faisceau existait aussi pour les occurrences des 5 mai et 23 décembre 2016, sur lesquelles il n'est toutefois pas possible de revenir en application du principe de l'interdiction de la reformatio in pejus (art. 391 al. 2 CPP).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4.1.3.1.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4.1.4. Les nouvelles dispositions sur le droit des sanctions sont entrées en vigueur le 1 er janvier 2018. Cette réforme marque globalement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4.1.5.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4.1.6.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4.2</w:t>
      </w:r>
    </w:p>
    <w:p>
      <w:r>
        <w:t>L'appelant n'a émis aucune critique spécifique, ne saurait-ce qu'à titre subsidiaire, à l'égard de la peine qui lui a été infligée. Le choix de la peine pécuniaire lui est acquis. Comme retenu à juste titre par le premier juge, la faute du prévenu n'est pas négligeable. Elle est même importante. La période pénale est longue, puisque s'agissant d'emploi d'étrangers sans autorisation, elle s'étend sur plus de six ans pour l'un des employés, une année pour la seconde et 11 mois pour le troisième. Il a agi par pure convenance personnelle et provocation au mépris de la législation en vigueur en Suisse et avait toute liberté d'agir autrement, à savoir de porter son choix sur des personnes éligibles à l'autorisation de travail, le domaine d'activité n'étant pas spécifique au point de le contraindre à agir comme il l'a fait. Il a conduit un véhicule sans permis pour son seul agrément, voire là encore par provocation. Sa collaboration est mauvaise. Il n'a reconnu les faits que pour un des trois employés concernés et nie encore les deux infractions à la loi sur la LCR malgré les photographies et commentaires publiés sur sa page L______, position dans laquelle il persiste en appel. Sa prise de conscience est ainsi nulle. Il y a concours d'infractions, facteur d'aggravation de la peine (art. 49 al. 1 CP). Le prévenu a neuf antécédents spécifiques. Il se moque ouvertement des autorités administratives et judiciaires. Au vu de ses antécédents, le sursis ne saurait lui être accordé. Il se justifie de révoquer ceux octroyés le 2 avril 2009 et le 14 mars 2012 relatifs à des infractions de même nature, lesquels ne l'ont pas été nonobstant les multiples récidives, étant relevé que les agissements pour lesquels l'appelant est condamné dans la présente procédure sont partiellement intervenus durant les délais d'épreuve de trois ans et quatre ans et demi. La renonciation à révoquer le sursis octroyé le 8 mai 2013 est acquise à l'appelant. Une partie des faits ayant été commis antérieurement aux condamnations prononcées le 14 mars 2012 par le Ministère public du canton de H______ ainsi que les 21 juin 2012, 25 avril 2013, 8 mai 2013, 6 février 2014, 6 août 2014, 25 février 2016 et 26 juillet 2016 par le Ministère public du canton de Genève, la présente peine, d'ensemble, leur sera partiellement complémentaire. Tel ne sera en revanche pas le cas en relation avec la condamnation du 6 août 2018 à une peine d'un genre différent. Fixée par le premier juge à 105 jours amende à CHF 30.- l'unité, elle s'avère adéquate à la faute commise - même clémente, dans la mesure où 10 condamnations à des peines pécuniaires, demeurées sans effet, auraient dû conduire au prononcé d'une peine privative de liberté -, et à la situation personnelle, dont financière, de l'appelant de sorte qu'elle sera confirmée.</w:t>
      </w:r>
    </w:p>
    <w:p>
      <w:r>
        <w:rPr>
          <w:b/>
        </w:rPr>
        <w:t>E. 5</w:t>
      </w:r>
    </w:p>
    <w:p>
      <w:r>
        <w:t>5.1.1.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5.1.2.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5.1.3. Si le prévenu est acquitté totalement ou en partie, il a droit à une indemnité pour les dépenses occasionnées par l’exercice raisonnable de ses droits de procédure (art. 429 al. 1 let. a CPP).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aussi A. KUHN / Y. JEANNERET [éds], Commentaire romand : Code de procédure pénale suisse , Bâle 2011, n. 13 ss ad art. 429 CPP, qui appliquent par analogie la théorie des concours d'infractions). 5.1.4.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cette indemnisation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retient un taux horaire de CHF 350.- pour les collaborateurs et de CHF 150.- pour les avocats stagiaires ( ACPR/89/2017 du 23 février 2017 ; AARP/65/2017 du 23 février 2017 ; ACPR/178/2015 du 23 mars 2015 ; AARP/125/2012 du 30 avril 2012 ; ACPR/187/2017 du 22 mars 2017 consid 3.2). Les démarches superflues, abusives ou excessives ne sont toutefois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2e éd., Bâle 2014,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Dès lors, l'autorité pénale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L'indemnité fondée sur l'art. 429 al. 1 let. a CPP pour les dépenses obligatoires occasionnées par la procédure ne produit pas d'intérêts (ATF 143 IV 495 consid. 2.2.4 ; arrêt du Tribunal fédéral 6B_1008/2017 du 5 avril 2018 consid. 2.3 in fine ). 5.1.5.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s. ; arrêt du Tribunal fédéral 6B_1360/2016 du 10 novembre 2017 consid. 3.2). 5.2.1. Le premier juge a, nonobstant l'acquittement partiel de l'appelant, mis l'intégralité des frais de la procédure à sa charge. Si l'on doit effectivement retenir que le comportement de l'appelant était contraire à l'ordre juridique suisse s'agissant de l'infraction à l'art. 117 LEtr, retenue pour le surplus, concernant l'employé C______, durant six ans et classée uniquement pour une période antérieure de cinq mois en raison de la seule prescription, tel n'est pas le cas des infractions aux art. 116 LEtr et 95 al. 1 LCR pour lesquelles il a bénéficié d'un acquittement en application du principe de la présomption d'innocence. Ce principe serait partant violé si l'on mettait à sa charge les frais de la procédure y afférents. Ainsi, il sera condamné aux 4/5 èmes des frais de la procédure de première instance, le solde restant à charge de l'Etat. 5.2.2. Dans la mesure où il succombe intégralement en appel, l'émolument complémentaire de jugement restera à sa charge, de même que les frais de seconde instance comprenant un émolument de CHF 2'000.- (art. 428 CPP et art. 14 al. 1 lit. e du règlement fixant le tarif des frais en matière pénale du 22 décembre 2010 [RTFMP – RS/GE E 4 10.03]). ). 5.3.1. Le principe de la couverture d'une partie des dépenses de première instance de l'appelant pour ses frais de défense est acquis à concurrence d'un cinquième, soit dans la mesure inverse de sa condamnation aux frais. Le quantum de ses prétentions à ce titre demeure dans l'ordre du raisonnable et le tarif appliqué conforme à la jurisprudence et à la pratique genevoise. Les frais de défense se chiffrent ainsi à CHF 3'222.20, correspondant à 6h45 d'activité de collaboratrice à un tarif horaire de CHF 425.- (CHF 2'868.75), un forfait de 4% pour frais divers (CHF 114.75), et la TVA au taux de 8%, soit CHF 238.70. Une indemnité d'un cinquième de ces frais, soit de CHF 644.45, TVA comprise, lui sera octroyée. 5.3.2. Succombant intégralement en appel, sa culpabilité et sa peine étant confirmées, l'appelant ne saurait prétendre à une indemnité fondée sur l'art. 429 CPP pour le surplus.</w:t>
      </w:r>
    </w:p>
    <w:p>
      <w:r>
        <w:rPr>
          <w:b/>
        </w:rPr>
        <w:t>E. 6</w:t>
      </w:r>
    </w:p>
    <w:p>
      <w:r>
        <w:t>6.1.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w:t>
      </w:r>
    </w:p>
    <w:p>
      <w:r>
        <w:rPr>
          <w:b/>
        </w:rPr>
        <w:t>E. 6.2</w:t>
      </w:r>
    </w:p>
    <w:p>
      <w:r>
        <w:t>La créance par CHF 644.45 de l'appelant envers l'Etat sera compensée avec celle portant sur les frais de procédure de première instance et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