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P/1743/2014 vom 27. Februar 2014</w:t>
      </w:r>
    </w:p>
    <w:p>
      <w:r>
        <w:t>GE Cour de justice, 2014-02-27, FR</w:t>
      </w:r>
    </w:p>
    <w:p>
      <w:r>
        <w:rPr>
          <w:b/>
        </w:rPr>
        <w:t xml:space="preserve">Quelle: </w:t>
      </w:r>
      <w:r>
        <w:t>https://mcp.opencaselaw.ch/entscheid/ge_gerichte_P_1743_2014</w:t>
      </w:r>
    </w:p>
    <w:p>
      <w:r>
        <w:t>FR: GE_GERICHTE P/1743/2014 du 27 février 2014</w:t>
      </w:r>
    </w:p>
    <w:p>
      <w:r>
        <w:t>IT: GE_GERICHTE P/1743/2014 del 27 febbraio 2014</w:t>
      </w:r>
    </w:p>
    <w:p>
      <w:pPr>
        <w:pStyle w:val="Heading2"/>
      </w:pPr>
      <w:r>
        <w:t>Regeste</w:t>
      </w:r>
    </w:p>
    <w:p>
      <w:r>
        <w:t>RÉVISION(DÉCISION); CONDITION DE RECEVABILITÉ | CPP.412</w:t>
      </w:r>
    </w:p>
    <w:p>
      <w:pPr>
        <w:pStyle w:val="Heading2"/>
      </w:pPr>
      <w:r>
        <w:t>Erwägungen</w:t>
      </w:r>
    </w:p>
    <w:p>
      <w:r>
        <w:rPr>
          <w:b/>
        </w:rPr>
        <w:t>E. 1</w:t>
      </w:r>
    </w:p>
    <w:p>
      <w:r>
        <w:t>L'art. 410 al. 1 let. a du Code de procédure pénale suisse du 5 octobre 2007 [CPP ; RS 312.0] permet à toute personne lésée par une ordonnance pénale entrée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 Zurich 2010, n. 54/61 ad art. 410 ; M. NIGGLI / M. HEER / H. WIPRÄCHTIGER, Schweizerische Strafprozessordnung / Schweizerische Jugendstrafprozessordnung, Basler Kommentar StPO/JStPO ,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w:t>
      </w:r>
    </w:p>
    <w:p>
      <w:r>
        <w:rPr>
          <w:b/>
        </w:rPr>
        <w:t>E. 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(cf. M. NIGGLI / M. HEER / H. WIPRÄCHTIGER, Schweizerische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3</w:t>
      </w:r>
    </w:p>
    <w:p>
      <w:r>
        <w:t>L'art. 252 CP, réprime le comportement de celui qui, dans le dessein d'améliorer sa situation aura fait usage de pièces de légitimation, de certificats ou d'attestations contrefaits ou falsifiés dans le dessein d'améliorer sa situation, cette disposition étant applicable aux titres étrangers (art. 255 CP).</w:t>
      </w:r>
    </w:p>
    <w:p>
      <w:r>
        <w:rPr>
          <w:b/>
        </w:rPr>
        <w:t>E. 4</w:t>
      </w:r>
    </w:p>
    <w:p>
      <w:r>
        <w:t>En l'espèce, le requérant a produit un document nommé "Motor driving licence", qui semble indiquer qu'il est titulaire depuis 1995 d'un permis de conduire pour véhicules à moteur. Or, le fait que celui-ci ait obtenu son permis de conduire au Bangladesh n'implique nullement que les documents présentés à l'occasion du contrôle étaient authentiques. Il pouvait tout aussi bien s'agir de fausses reproductions du permis original. Le deuxième document, un reçu pour un montant de CHF 20.-, établit seulement qu'une telle somme a été payée à l'ambassade de la République populaire du Bangladesh. Contrairement à ce qu'allègue le requérant, ces pièces ne constituent en rien des attestations d'authenticité. Partant, les moyens de preuve présentés par le requérant ne sont pas propre à ébranler les constatations de faits sur lesquelles s'est fondé le Ministère public pour rendre son ordonnance. La requête sera déclarée d'emblée irrecevable, sans qu'il soit nécessaire d'ordonner un échange d'écritures.</w:t>
      </w:r>
    </w:p>
    <w:p>
      <w:r>
        <w:rPr>
          <w:b/>
        </w:rPr>
        <w:t>E. 5</w:t>
      </w:r>
    </w:p>
    <w:p>
      <w:r>
        <w:t>Le requérant, qui succombe, supportera les frais de la procédure envers l'État (art. 428 al. 1 CPP a contrario), lesquels comprennent une indemnité de CHF 1'000.- (art. 14 al. 1 let. e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